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10" w:rsidRDefault="001A3910" w:rsidP="00B9771D">
      <w:pPr>
        <w:ind w:left="0" w:firstLine="0"/>
        <w:jc w:val="both"/>
        <w:rPr>
          <w:rFonts w:ascii="Palatino Linotype" w:hAnsi="Palatino Linotype"/>
          <w:sz w:val="24"/>
        </w:rPr>
      </w:pPr>
    </w:p>
    <w:p w:rsidR="00A2468F" w:rsidRDefault="00A2468F" w:rsidP="00A2468F">
      <w:pPr>
        <w:ind w:left="0" w:firstLine="0"/>
        <w:jc w:val="right"/>
        <w:rPr>
          <w:rFonts w:ascii="Palatino Linotype" w:hAnsi="Palatino Linotype"/>
          <w:sz w:val="24"/>
        </w:rPr>
      </w:pPr>
      <w:r w:rsidRPr="00BD4962">
        <w:rPr>
          <w:rFonts w:ascii="Arial" w:hAnsi="Arial" w:cs="Arial"/>
          <w:noProof/>
          <w:color w:val="FFFFFF" w:themeColor="background1"/>
          <w:sz w:val="24"/>
          <w:lang w:val="ca-ES" w:eastAsia="ca-ES"/>
        </w:rPr>
        <w:drawing>
          <wp:inline distT="0" distB="0" distL="0" distR="0" wp14:anchorId="6131EC8D" wp14:editId="534CC54C">
            <wp:extent cx="1803400" cy="601345"/>
            <wp:effectExtent l="0" t="0" r="0" b="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3400" cy="601345"/>
                    </a:xfrm>
                    <a:prstGeom prst="rect">
                      <a:avLst/>
                    </a:prstGeom>
                    <a:noFill/>
                    <a:ln>
                      <a:noFill/>
                    </a:ln>
                  </pic:spPr>
                </pic:pic>
              </a:graphicData>
            </a:graphic>
          </wp:inline>
        </w:drawing>
      </w:r>
    </w:p>
    <w:p w:rsidR="00A2468F" w:rsidRDefault="00A2468F" w:rsidP="00B9771D">
      <w:pPr>
        <w:ind w:left="0" w:firstLine="0"/>
        <w:jc w:val="both"/>
        <w:rPr>
          <w:rFonts w:ascii="Palatino Linotype" w:hAnsi="Palatino Linotype"/>
          <w:sz w:val="24"/>
        </w:rPr>
      </w:pPr>
    </w:p>
    <w:p w:rsidR="00B9771D" w:rsidRDefault="00B9771D" w:rsidP="00B9771D">
      <w:pPr>
        <w:ind w:left="0" w:firstLine="0"/>
        <w:jc w:val="both"/>
        <w:rPr>
          <w:rFonts w:ascii="Palatino Linotype" w:hAnsi="Palatino Linotype"/>
          <w:sz w:val="24"/>
        </w:rPr>
      </w:pPr>
      <w:r w:rsidRPr="004A6098">
        <w:rPr>
          <w:rFonts w:ascii="Palatino Linotype" w:hAnsi="Palatino Linotype"/>
          <w:sz w:val="24"/>
        </w:rPr>
        <w:t>Excelentísimo Sr. Ministro de la Presidencia, Justicia y Relaciones con las Cortes,</w:t>
      </w:r>
    </w:p>
    <w:p w:rsidR="001A3910" w:rsidRPr="004A6098" w:rsidRDefault="001A3910" w:rsidP="00B9771D">
      <w:pPr>
        <w:ind w:left="0" w:firstLine="0"/>
        <w:jc w:val="both"/>
        <w:rPr>
          <w:rFonts w:ascii="Palatino Linotype" w:hAnsi="Palatino Linotype"/>
          <w:sz w:val="24"/>
        </w:rPr>
      </w:pPr>
    </w:p>
    <w:p w:rsidR="00B9771D" w:rsidRPr="004A6098" w:rsidRDefault="00B9771D" w:rsidP="00B9771D">
      <w:pPr>
        <w:ind w:left="0" w:firstLine="0"/>
        <w:jc w:val="both"/>
        <w:rPr>
          <w:rFonts w:ascii="Palatino Linotype" w:hAnsi="Palatino Linotype"/>
          <w:sz w:val="24"/>
        </w:rPr>
      </w:pPr>
      <w:r w:rsidRPr="004A6098">
        <w:rPr>
          <w:rFonts w:ascii="Palatino Linotype" w:hAnsi="Palatino Linotype"/>
          <w:sz w:val="24"/>
        </w:rPr>
        <w:t xml:space="preserve">En primer lugar, queremos agradecer la comunicación recibida y su remisión a todas las asociaciones profesionales de jueces, juezas y fiscales sin distinción, máxime cuando se remite por el </w:t>
      </w:r>
      <w:r w:rsidR="00E82074" w:rsidRPr="004A6098">
        <w:rPr>
          <w:rFonts w:ascii="Palatino Linotype" w:hAnsi="Palatino Linotype"/>
          <w:sz w:val="24"/>
        </w:rPr>
        <w:t xml:space="preserve">titular y, por ende, superior </w:t>
      </w:r>
      <w:r w:rsidRPr="004A6098">
        <w:rPr>
          <w:rFonts w:ascii="Palatino Linotype" w:hAnsi="Palatino Linotype"/>
          <w:sz w:val="24"/>
        </w:rPr>
        <w:t>responsable del Ministerio.</w:t>
      </w:r>
      <w:r w:rsidR="00E82074" w:rsidRPr="004A6098">
        <w:rPr>
          <w:rFonts w:ascii="Palatino Linotype" w:hAnsi="Palatino Linotype"/>
          <w:sz w:val="24"/>
        </w:rPr>
        <w:t xml:space="preserve"> Consideramos que muestra un trato igualitario a todas las asociaciones y una actitud de comunicación abierta al diálogo, que la Asociación Judicial Francisco de Vitoria siempre ha </w:t>
      </w:r>
      <w:r w:rsidR="008F3C2B" w:rsidRPr="004A6098">
        <w:rPr>
          <w:rFonts w:ascii="Palatino Linotype" w:hAnsi="Palatino Linotype"/>
          <w:sz w:val="24"/>
        </w:rPr>
        <w:t>defendido y practicado</w:t>
      </w:r>
      <w:r w:rsidR="00E82074" w:rsidRPr="004A6098">
        <w:rPr>
          <w:rFonts w:ascii="Palatino Linotype" w:hAnsi="Palatino Linotype"/>
          <w:sz w:val="24"/>
        </w:rPr>
        <w:t xml:space="preserve">, conscientes </w:t>
      </w:r>
      <w:r w:rsidR="008F3C2B" w:rsidRPr="004A6098">
        <w:rPr>
          <w:rFonts w:ascii="Palatino Linotype" w:hAnsi="Palatino Linotype"/>
          <w:sz w:val="24"/>
        </w:rPr>
        <w:t>de que es el camino más idóneo para lograr el cumplimiento de nuestros fines asociativos: la defensa de los intereses profesionales de la carrera judicial y de los valores constitucionales.</w:t>
      </w:r>
    </w:p>
    <w:p w:rsidR="00DF1B2E" w:rsidRPr="004A6098" w:rsidRDefault="008F3C2B" w:rsidP="00B9771D">
      <w:pPr>
        <w:ind w:left="0" w:firstLine="0"/>
        <w:jc w:val="both"/>
        <w:rPr>
          <w:rFonts w:ascii="Palatino Linotype" w:hAnsi="Palatino Linotype"/>
          <w:sz w:val="24"/>
        </w:rPr>
      </w:pPr>
      <w:r w:rsidRPr="004A6098">
        <w:rPr>
          <w:rFonts w:ascii="Palatino Linotype" w:hAnsi="Palatino Linotype"/>
          <w:sz w:val="24"/>
        </w:rPr>
        <w:t>Es cierto que el Gobierno está impulsando una importante transformación de la Justicia y que es necesaria su actualización a los nuevos tiempos, así como prever la atención a necesidades futuras</w:t>
      </w:r>
      <w:r w:rsidR="00DA0C32" w:rsidRPr="004A6098">
        <w:rPr>
          <w:rFonts w:ascii="Palatino Linotype" w:hAnsi="Palatino Linotype"/>
          <w:sz w:val="24"/>
        </w:rPr>
        <w:t xml:space="preserve">. Al efecto se han impulsado y aprobado varias normas, algunas con rango de Ley Orgánica, </w:t>
      </w:r>
      <w:r w:rsidR="00DF1B2E" w:rsidRPr="004A6098">
        <w:rPr>
          <w:rFonts w:ascii="Palatino Linotype" w:hAnsi="Palatino Linotype"/>
          <w:sz w:val="24"/>
        </w:rPr>
        <w:t>aunque sin el consenso que sería deseable en materias de tal importancia.</w:t>
      </w:r>
    </w:p>
    <w:p w:rsidR="00DF1B2E" w:rsidRPr="004A6098" w:rsidRDefault="00DF1B2E" w:rsidP="00B9771D">
      <w:pPr>
        <w:ind w:left="0" w:firstLine="0"/>
        <w:jc w:val="both"/>
        <w:rPr>
          <w:rFonts w:ascii="Palatino Linotype" w:hAnsi="Palatino Linotype"/>
          <w:sz w:val="24"/>
        </w:rPr>
      </w:pPr>
      <w:r w:rsidRPr="004A6098">
        <w:rPr>
          <w:rFonts w:ascii="Palatino Linotype" w:hAnsi="Palatino Linotype"/>
          <w:sz w:val="24"/>
        </w:rPr>
        <w:t xml:space="preserve">De las normas que se citan, cabe destacar la Ley Orgánica 1/2025, de 2 de enero, de medidas en materia de eficiencia del Servicio Público de Justicia, que regula los nuevos Tribunales de Instancia, en proceso de constitución y cuyo funcionamiento plantea importantes incógnitas. Máxime cuando esta ley no cuenta con el necesario incremento de jueces y juezas, manteniéndose una ratio juez/a/población manifiestamente inferior a la media europea, </w:t>
      </w:r>
      <w:r w:rsidR="004A54C2" w:rsidRPr="004A6098">
        <w:rPr>
          <w:rFonts w:ascii="Palatino Linotype" w:hAnsi="Palatino Linotype"/>
          <w:sz w:val="24"/>
        </w:rPr>
        <w:t>resultado del incumplimiento del compromiso de incrementar significativamente el número de plazas a convocar para acceder a la carrera por el turno libre, de la no creación de plazas judiciales reiteradamente demandadas como imprescindibles y del aumento imparable de jubilaciones, también voluntarias, provocadas por una carga de trabajo insostenible que afecta a la salud de los jueces y juezas. Otras cuestiones, como la introducción de los MASC, se apuntan someramente en una regulación parcial e imprecisa que plantea importantes problemas de seguridad jurídica.</w:t>
      </w:r>
    </w:p>
    <w:p w:rsidR="004A54C2" w:rsidRDefault="004A54C2" w:rsidP="00B9771D">
      <w:pPr>
        <w:ind w:left="0" w:firstLine="0"/>
        <w:jc w:val="both"/>
        <w:rPr>
          <w:rFonts w:ascii="Palatino Linotype" w:hAnsi="Palatino Linotype"/>
          <w:sz w:val="24"/>
        </w:rPr>
      </w:pPr>
      <w:r w:rsidRPr="004A6098">
        <w:rPr>
          <w:rFonts w:ascii="Palatino Linotype" w:hAnsi="Palatino Linotype"/>
          <w:sz w:val="24"/>
        </w:rPr>
        <w:lastRenderedPageBreak/>
        <w:t xml:space="preserve">Nuestra asociación siempre se ha mostrado dispuesta a la colaboración y el diálogo, elaborando rigurosos informes de los que seguro tiene conocimiento, y en esta misma actitud seguiremos con </w:t>
      </w:r>
      <w:r w:rsidR="00537656" w:rsidRPr="004A6098">
        <w:rPr>
          <w:rFonts w:ascii="Palatino Linotype" w:hAnsi="Palatino Linotype"/>
          <w:sz w:val="24"/>
        </w:rPr>
        <w:t xml:space="preserve">el anhelo </w:t>
      </w:r>
      <w:r w:rsidRPr="004A6098">
        <w:rPr>
          <w:rFonts w:ascii="Palatino Linotype" w:hAnsi="Palatino Linotype"/>
          <w:sz w:val="24"/>
        </w:rPr>
        <w:t>de que nuestras aportaciones se tengan en consideración</w:t>
      </w:r>
      <w:r w:rsidR="00537656" w:rsidRPr="004A6098">
        <w:rPr>
          <w:rFonts w:ascii="Palatino Linotype" w:hAnsi="Palatino Linotype"/>
          <w:sz w:val="24"/>
        </w:rPr>
        <w:t>.</w:t>
      </w:r>
    </w:p>
    <w:p w:rsidR="00A2468F" w:rsidRPr="004A6098" w:rsidRDefault="00A2468F" w:rsidP="00B9771D">
      <w:pPr>
        <w:ind w:left="0" w:firstLine="0"/>
        <w:jc w:val="both"/>
        <w:rPr>
          <w:rFonts w:ascii="Palatino Linotype" w:hAnsi="Palatino Linotype"/>
          <w:sz w:val="24"/>
        </w:rPr>
      </w:pPr>
    </w:p>
    <w:p w:rsidR="004A54C2" w:rsidRDefault="00CE27AA" w:rsidP="00B9771D">
      <w:pPr>
        <w:ind w:left="0" w:firstLine="0"/>
        <w:jc w:val="both"/>
        <w:rPr>
          <w:rFonts w:ascii="Palatino Linotype" w:hAnsi="Palatino Linotype"/>
          <w:sz w:val="24"/>
        </w:rPr>
      </w:pPr>
      <w:r w:rsidRPr="004A6098">
        <w:rPr>
          <w:rFonts w:ascii="Palatino Linotype" w:hAnsi="Palatino Linotype"/>
          <w:sz w:val="24"/>
        </w:rPr>
        <w:t>Entrando en la valoración del Proyecto de Ley Orgánica para la ampliación y fortalecimiento de las Carreras Judicial y Fiscal, tuvimos conocimiento de su aprobación en Consejo de Ministros, se nos informó por el Secretario de Estado de Justicia de la supresión de dos cuestiones puntuales respecto del Anteproyecto y conocemos por fin el texto a través de su publicación en el Boletín Oficial de las Cortes Generales. En su día realizamos alegaciones</w:t>
      </w:r>
      <w:r w:rsidR="00537656" w:rsidRPr="004A6098">
        <w:rPr>
          <w:rFonts w:ascii="Palatino Linotype" w:hAnsi="Palatino Linotype"/>
          <w:sz w:val="24"/>
        </w:rPr>
        <w:t xml:space="preserve"> </w:t>
      </w:r>
      <w:r w:rsidRPr="004A6098">
        <w:rPr>
          <w:rFonts w:ascii="Palatino Linotype" w:hAnsi="Palatino Linotype"/>
          <w:sz w:val="24"/>
        </w:rPr>
        <w:t xml:space="preserve">al anteproyecto que le precede, </w:t>
      </w:r>
      <w:r w:rsidR="00537656" w:rsidRPr="004A6098">
        <w:rPr>
          <w:rFonts w:ascii="Palatino Linotype" w:hAnsi="Palatino Linotype"/>
          <w:sz w:val="24"/>
        </w:rPr>
        <w:t>dentro del trámite de alegaciones públicas al que se nos remitió, en las que</w:t>
      </w:r>
      <w:r w:rsidRPr="004A6098">
        <w:rPr>
          <w:rFonts w:ascii="Palatino Linotype" w:hAnsi="Palatino Linotype"/>
          <w:sz w:val="24"/>
        </w:rPr>
        <w:t xml:space="preserve"> analizamos con rigor </w:t>
      </w:r>
      <w:r w:rsidR="00860AE9" w:rsidRPr="004A6098">
        <w:rPr>
          <w:rFonts w:ascii="Palatino Linotype" w:hAnsi="Palatino Linotype"/>
          <w:sz w:val="24"/>
        </w:rPr>
        <w:t xml:space="preserve">y actitud constructiva </w:t>
      </w:r>
      <w:r w:rsidRPr="004A6098">
        <w:rPr>
          <w:rFonts w:ascii="Palatino Linotype" w:hAnsi="Palatino Linotype"/>
          <w:sz w:val="24"/>
        </w:rPr>
        <w:t xml:space="preserve">su texto, y del mismo modo estudiaremos </w:t>
      </w:r>
      <w:r w:rsidR="00537656" w:rsidRPr="004A6098">
        <w:rPr>
          <w:rFonts w:ascii="Palatino Linotype" w:hAnsi="Palatino Linotype"/>
          <w:sz w:val="24"/>
        </w:rPr>
        <w:t>el</w:t>
      </w:r>
      <w:r w:rsidRPr="004A6098">
        <w:rPr>
          <w:rFonts w:ascii="Palatino Linotype" w:hAnsi="Palatino Linotype"/>
          <w:sz w:val="24"/>
        </w:rPr>
        <w:t xml:space="preserve"> texto</w:t>
      </w:r>
      <w:r w:rsidR="00537656" w:rsidRPr="004A6098">
        <w:rPr>
          <w:rFonts w:ascii="Palatino Linotype" w:hAnsi="Palatino Linotype"/>
          <w:sz w:val="24"/>
        </w:rPr>
        <w:t xml:space="preserve"> del Proyecto.</w:t>
      </w:r>
    </w:p>
    <w:p w:rsidR="00DF1B2E" w:rsidRDefault="00537656" w:rsidP="00B9771D">
      <w:pPr>
        <w:ind w:left="0" w:firstLine="0"/>
        <w:jc w:val="both"/>
        <w:rPr>
          <w:rFonts w:ascii="Palatino Linotype" w:hAnsi="Palatino Linotype"/>
          <w:sz w:val="24"/>
        </w:rPr>
      </w:pPr>
      <w:r w:rsidRPr="004A6098">
        <w:rPr>
          <w:rFonts w:ascii="Palatino Linotype" w:hAnsi="Palatino Linotype"/>
          <w:sz w:val="24"/>
        </w:rPr>
        <w:t>Respecto de las que se califican como principales novedades del Proyecto de Ley, siguiendo el mismo orden, queremos destacar</w:t>
      </w:r>
      <w:r w:rsidR="009E5282" w:rsidRPr="004A6098">
        <w:rPr>
          <w:rFonts w:ascii="Palatino Linotype" w:hAnsi="Palatino Linotype"/>
          <w:sz w:val="24"/>
        </w:rPr>
        <w:t xml:space="preserve"> valoraciones ya contenidas en nuestras alegaciones al Anteproyecto, adaptadas al texto del Proyecto de Ley, que pasamos a exponer con brevedad:</w:t>
      </w:r>
    </w:p>
    <w:p w:rsidR="001A3910" w:rsidRPr="004A6098" w:rsidRDefault="001A3910" w:rsidP="00B9771D">
      <w:pPr>
        <w:ind w:left="0" w:firstLine="0"/>
        <w:jc w:val="both"/>
        <w:rPr>
          <w:rFonts w:ascii="Palatino Linotype" w:hAnsi="Palatino Linotype"/>
          <w:sz w:val="24"/>
        </w:rPr>
      </w:pPr>
    </w:p>
    <w:p w:rsidR="00537656" w:rsidRPr="004A6098" w:rsidRDefault="00537656" w:rsidP="00B9771D">
      <w:pPr>
        <w:ind w:left="0" w:firstLine="0"/>
        <w:jc w:val="both"/>
        <w:rPr>
          <w:rFonts w:ascii="Palatino Linotype" w:hAnsi="Palatino Linotype"/>
          <w:b/>
          <w:sz w:val="24"/>
        </w:rPr>
      </w:pPr>
      <w:r w:rsidRPr="004A6098">
        <w:rPr>
          <w:rFonts w:ascii="Palatino Linotype" w:hAnsi="Palatino Linotype"/>
          <w:b/>
          <w:sz w:val="24"/>
        </w:rPr>
        <w:t xml:space="preserve">1. </w:t>
      </w:r>
      <w:r w:rsidRPr="00A2468F">
        <w:rPr>
          <w:rFonts w:ascii="Palatino Linotype" w:hAnsi="Palatino Linotype"/>
          <w:b/>
          <w:i/>
          <w:sz w:val="24"/>
        </w:rPr>
        <w:t>“Mejora del sistema de acceso: más objetivo y adaptado a las necesidades de hoy</w:t>
      </w:r>
      <w:r w:rsidRPr="004A6098">
        <w:rPr>
          <w:rFonts w:ascii="Palatino Linotype" w:hAnsi="Palatino Linotype"/>
          <w:b/>
          <w:sz w:val="24"/>
        </w:rPr>
        <w:t>.”</w:t>
      </w:r>
    </w:p>
    <w:p w:rsidR="002A41F3" w:rsidRPr="004A6098" w:rsidRDefault="009E5282" w:rsidP="002A41F3">
      <w:pPr>
        <w:ind w:left="0" w:firstLine="0"/>
        <w:jc w:val="both"/>
        <w:rPr>
          <w:rFonts w:ascii="Palatino Linotype" w:hAnsi="Palatino Linotype"/>
          <w:sz w:val="24"/>
        </w:rPr>
      </w:pPr>
      <w:r w:rsidRPr="004A6098">
        <w:rPr>
          <w:rFonts w:ascii="Palatino Linotype" w:hAnsi="Palatino Linotype"/>
          <w:sz w:val="24"/>
        </w:rPr>
        <w:t>Valoramos positivamente la grabación de los exámenes orales del turno libre, que ya se vienen realizando en audiencia pública</w:t>
      </w:r>
      <w:r w:rsidR="002A41F3" w:rsidRPr="004A6098">
        <w:rPr>
          <w:rFonts w:ascii="Palatino Linotype" w:hAnsi="Palatino Linotype"/>
          <w:sz w:val="24"/>
        </w:rPr>
        <w:t>, si bien el soporte audiovisual es un avance que facilitará al opositor una eventual impugnación.</w:t>
      </w:r>
      <w:r w:rsidR="00574D25" w:rsidRPr="004A6098">
        <w:rPr>
          <w:rFonts w:ascii="Palatino Linotype" w:hAnsi="Palatino Linotype"/>
          <w:sz w:val="24"/>
        </w:rPr>
        <w:t xml:space="preserve"> La </w:t>
      </w:r>
      <w:proofErr w:type="spellStart"/>
      <w:r w:rsidR="00574D25" w:rsidRPr="004A6098">
        <w:rPr>
          <w:rFonts w:ascii="Palatino Linotype" w:hAnsi="Palatino Linotype"/>
          <w:sz w:val="24"/>
        </w:rPr>
        <w:t>anonimización</w:t>
      </w:r>
      <w:proofErr w:type="spellEnd"/>
      <w:r w:rsidR="00574D25" w:rsidRPr="004A6098">
        <w:rPr>
          <w:rFonts w:ascii="Palatino Linotype" w:hAnsi="Palatino Linotype"/>
          <w:sz w:val="24"/>
        </w:rPr>
        <w:t xml:space="preserve"> de los exámenes escritos no es novedad, pues ya rige en el test actual, única prueba escrita en la actualidad y preliminar a los actuales dos orales.</w:t>
      </w:r>
    </w:p>
    <w:p w:rsidR="00574D25" w:rsidRPr="004A6098" w:rsidRDefault="002A41F3" w:rsidP="00B9771D">
      <w:pPr>
        <w:ind w:left="0" w:firstLine="0"/>
        <w:jc w:val="both"/>
        <w:rPr>
          <w:rFonts w:ascii="Palatino Linotype" w:hAnsi="Palatino Linotype"/>
          <w:sz w:val="24"/>
        </w:rPr>
      </w:pPr>
      <w:r w:rsidRPr="004A6098">
        <w:rPr>
          <w:rFonts w:ascii="Palatino Linotype" w:hAnsi="Palatino Linotype"/>
          <w:sz w:val="24"/>
        </w:rPr>
        <w:t xml:space="preserve">No se comprende el motivo por el que esta medida </w:t>
      </w:r>
      <w:r w:rsidR="00574D25" w:rsidRPr="004A6098">
        <w:rPr>
          <w:rFonts w:ascii="Palatino Linotype" w:hAnsi="Palatino Linotype"/>
          <w:sz w:val="24"/>
        </w:rPr>
        <w:t>de grabación no se extienda</w:t>
      </w:r>
      <w:r w:rsidR="009E5282" w:rsidRPr="004A6098">
        <w:rPr>
          <w:rFonts w:ascii="Palatino Linotype" w:hAnsi="Palatino Linotype"/>
          <w:sz w:val="24"/>
        </w:rPr>
        <w:t xml:space="preserve"> a la entrevista de</w:t>
      </w:r>
      <w:r w:rsidR="00574D25" w:rsidRPr="004A6098">
        <w:rPr>
          <w:rFonts w:ascii="Palatino Linotype" w:hAnsi="Palatino Linotype"/>
          <w:sz w:val="24"/>
        </w:rPr>
        <w:t>l</w:t>
      </w:r>
      <w:r w:rsidR="009E5282" w:rsidRPr="004A6098">
        <w:rPr>
          <w:rFonts w:ascii="Palatino Linotype" w:hAnsi="Palatino Linotype"/>
          <w:sz w:val="24"/>
        </w:rPr>
        <w:t xml:space="preserve"> concurso-oposición</w:t>
      </w:r>
      <w:r w:rsidRPr="004A6098">
        <w:rPr>
          <w:rFonts w:ascii="Palatino Linotype" w:hAnsi="Palatino Linotype"/>
          <w:sz w:val="24"/>
        </w:rPr>
        <w:t xml:space="preserve">, si </w:t>
      </w:r>
      <w:r w:rsidR="00574D25" w:rsidRPr="004A6098">
        <w:rPr>
          <w:rFonts w:ascii="Palatino Linotype" w:hAnsi="Palatino Linotype"/>
          <w:sz w:val="24"/>
        </w:rPr>
        <w:t xml:space="preserve">es que </w:t>
      </w:r>
      <w:r w:rsidRPr="004A6098">
        <w:rPr>
          <w:rFonts w:ascii="Palatino Linotype" w:hAnsi="Palatino Linotype"/>
          <w:sz w:val="24"/>
        </w:rPr>
        <w:t>se trata de dotar de mayor transparencia y objetividad a esta forma de acceso, no exenta de subjetividad</w:t>
      </w:r>
      <w:r w:rsidR="009E5282" w:rsidRPr="004A6098">
        <w:rPr>
          <w:rFonts w:ascii="Palatino Linotype" w:hAnsi="Palatino Linotype"/>
          <w:sz w:val="24"/>
        </w:rPr>
        <w:t>.</w:t>
      </w:r>
      <w:r w:rsidR="00574D25" w:rsidRPr="004A6098">
        <w:rPr>
          <w:rFonts w:ascii="Palatino Linotype" w:hAnsi="Palatino Linotype"/>
          <w:sz w:val="24"/>
        </w:rPr>
        <w:t xml:space="preserve"> </w:t>
      </w:r>
    </w:p>
    <w:p w:rsidR="002A41F3" w:rsidRPr="004A6098" w:rsidRDefault="002A41F3" w:rsidP="00B9771D">
      <w:pPr>
        <w:ind w:left="0" w:firstLine="0"/>
        <w:jc w:val="both"/>
        <w:rPr>
          <w:rFonts w:ascii="Palatino Linotype" w:hAnsi="Palatino Linotype"/>
          <w:sz w:val="24"/>
        </w:rPr>
      </w:pPr>
      <w:r w:rsidRPr="004A6098">
        <w:rPr>
          <w:rFonts w:ascii="Palatino Linotype" w:hAnsi="Palatino Linotype"/>
          <w:sz w:val="24"/>
        </w:rPr>
        <w:t xml:space="preserve">En las dos formas de acceso la regulación proyectada supone un retroceso en el respeto a los principios de mérito y capacidad que deben presidir el acceso a la función pública, al rebajar las exigencias de acreditación de conocimientos jurídicos </w:t>
      </w:r>
      <w:r w:rsidR="001A3910">
        <w:rPr>
          <w:rFonts w:ascii="Palatino Linotype" w:hAnsi="Palatino Linotype"/>
          <w:sz w:val="24"/>
        </w:rPr>
        <w:t>en garantía de</w:t>
      </w:r>
      <w:r w:rsidRPr="004A6098">
        <w:rPr>
          <w:rFonts w:ascii="Palatino Linotype" w:hAnsi="Palatino Linotype"/>
          <w:sz w:val="24"/>
        </w:rPr>
        <w:t xml:space="preserve"> la excelencia precisa para acceder a las carreras judicial y fiscal.</w:t>
      </w:r>
    </w:p>
    <w:p w:rsidR="002A41F3" w:rsidRPr="004A6098" w:rsidRDefault="002A41F3" w:rsidP="00B9771D">
      <w:pPr>
        <w:ind w:left="0" w:firstLine="0"/>
        <w:jc w:val="both"/>
        <w:rPr>
          <w:rFonts w:ascii="Palatino Linotype" w:hAnsi="Palatino Linotype"/>
          <w:sz w:val="24"/>
        </w:rPr>
      </w:pPr>
      <w:r w:rsidRPr="004A6098">
        <w:rPr>
          <w:rFonts w:ascii="Palatino Linotype" w:hAnsi="Palatino Linotype"/>
          <w:sz w:val="24"/>
        </w:rPr>
        <w:lastRenderedPageBreak/>
        <w:t>Así, en el turno libre se elimina el segundo oral</w:t>
      </w:r>
      <w:r w:rsidR="00E31B4B" w:rsidRPr="004A6098">
        <w:rPr>
          <w:rFonts w:ascii="Palatino Linotype" w:hAnsi="Palatino Linotype"/>
          <w:sz w:val="24"/>
        </w:rPr>
        <w:t xml:space="preserve">, que acreditaba, entre otros, conocimientos de Derecho Procesal, sustituyéndolo por un dictamen práctico, </w:t>
      </w:r>
      <w:r w:rsidR="00574D25" w:rsidRPr="004A6098">
        <w:rPr>
          <w:rFonts w:ascii="Palatino Linotype" w:hAnsi="Palatino Linotype"/>
          <w:sz w:val="24"/>
        </w:rPr>
        <w:t xml:space="preserve">lo que obviamente </w:t>
      </w:r>
      <w:r w:rsidR="00E31B4B" w:rsidRPr="004A6098">
        <w:rPr>
          <w:rFonts w:ascii="Palatino Linotype" w:hAnsi="Palatino Linotype"/>
          <w:sz w:val="24"/>
        </w:rPr>
        <w:t>incrementa</w:t>
      </w:r>
      <w:r w:rsidR="00574D25" w:rsidRPr="004A6098">
        <w:rPr>
          <w:rFonts w:ascii="Palatino Linotype" w:hAnsi="Palatino Linotype"/>
          <w:sz w:val="24"/>
        </w:rPr>
        <w:t xml:space="preserve"> </w:t>
      </w:r>
      <w:r w:rsidR="00E31B4B" w:rsidRPr="004A6098">
        <w:rPr>
          <w:rFonts w:ascii="Palatino Linotype" w:hAnsi="Palatino Linotype"/>
          <w:sz w:val="24"/>
        </w:rPr>
        <w:t xml:space="preserve">la subjetividad en la evaluación. Podría haberse añadido </w:t>
      </w:r>
      <w:r w:rsidR="00860AE9" w:rsidRPr="004A6098">
        <w:rPr>
          <w:rFonts w:ascii="Palatino Linotype" w:hAnsi="Palatino Linotype"/>
          <w:sz w:val="24"/>
        </w:rPr>
        <w:t xml:space="preserve">esta nueva prueba </w:t>
      </w:r>
      <w:r w:rsidR="00E31B4B" w:rsidRPr="004A6098">
        <w:rPr>
          <w:rFonts w:ascii="Palatino Linotype" w:hAnsi="Palatino Linotype"/>
          <w:sz w:val="24"/>
        </w:rPr>
        <w:t xml:space="preserve">sin </w:t>
      </w:r>
      <w:r w:rsidR="00860AE9" w:rsidRPr="004A6098">
        <w:rPr>
          <w:rFonts w:ascii="Palatino Linotype" w:hAnsi="Palatino Linotype"/>
          <w:sz w:val="24"/>
        </w:rPr>
        <w:t xml:space="preserve">necesidad de </w:t>
      </w:r>
      <w:r w:rsidR="00E31B4B" w:rsidRPr="004A6098">
        <w:rPr>
          <w:rFonts w:ascii="Palatino Linotype" w:hAnsi="Palatino Linotype"/>
          <w:sz w:val="24"/>
        </w:rPr>
        <w:t xml:space="preserve">suprimir </w:t>
      </w:r>
      <w:r w:rsidR="00860AE9" w:rsidRPr="004A6098">
        <w:rPr>
          <w:rFonts w:ascii="Palatino Linotype" w:hAnsi="Palatino Linotype"/>
          <w:sz w:val="24"/>
        </w:rPr>
        <w:t>el segundo oral, que consideramos</w:t>
      </w:r>
      <w:r w:rsidR="00E31B4B" w:rsidRPr="004A6098">
        <w:rPr>
          <w:rFonts w:ascii="Palatino Linotype" w:hAnsi="Palatino Linotype"/>
          <w:sz w:val="24"/>
        </w:rPr>
        <w:t xml:space="preserve"> imprescindible para acreditar el conocimiento relativo a </w:t>
      </w:r>
      <w:r w:rsidR="00574D25" w:rsidRPr="004A6098">
        <w:rPr>
          <w:rFonts w:ascii="Palatino Linotype" w:hAnsi="Palatino Linotype"/>
          <w:sz w:val="24"/>
        </w:rPr>
        <w:t xml:space="preserve">una </w:t>
      </w:r>
      <w:r w:rsidR="00E31B4B" w:rsidRPr="004A6098">
        <w:rPr>
          <w:rFonts w:ascii="Palatino Linotype" w:hAnsi="Palatino Linotype"/>
          <w:sz w:val="24"/>
        </w:rPr>
        <w:t xml:space="preserve">materia jurídica que es herramienta esencial en el ejercicio de </w:t>
      </w:r>
      <w:r w:rsidR="00860AE9" w:rsidRPr="004A6098">
        <w:rPr>
          <w:rFonts w:ascii="Palatino Linotype" w:hAnsi="Palatino Linotype"/>
          <w:sz w:val="24"/>
        </w:rPr>
        <w:t>nuestra función</w:t>
      </w:r>
      <w:r w:rsidR="00E31B4B" w:rsidRPr="004A6098">
        <w:rPr>
          <w:rFonts w:ascii="Palatino Linotype" w:hAnsi="Palatino Linotype"/>
          <w:sz w:val="24"/>
        </w:rPr>
        <w:t xml:space="preserve">, </w:t>
      </w:r>
      <w:r w:rsidR="00574D25" w:rsidRPr="004A6098">
        <w:rPr>
          <w:rFonts w:ascii="Palatino Linotype" w:hAnsi="Palatino Linotype"/>
          <w:sz w:val="24"/>
        </w:rPr>
        <w:t xml:space="preserve">y </w:t>
      </w:r>
      <w:r w:rsidR="00E31B4B" w:rsidRPr="004A6098">
        <w:rPr>
          <w:rFonts w:ascii="Palatino Linotype" w:hAnsi="Palatino Linotype"/>
          <w:sz w:val="24"/>
        </w:rPr>
        <w:t>sin consideración a la fase posterior de curso en la Escuela Judicial y prácticas tuteladas, que ya permiten adquirir conocimientos prácticos sobre la base del conocimiento conjunto del ordenamiento jurídico</w:t>
      </w:r>
      <w:r w:rsidR="00574D25" w:rsidRPr="004A6098">
        <w:rPr>
          <w:rFonts w:ascii="Palatino Linotype" w:hAnsi="Palatino Linotype"/>
          <w:sz w:val="24"/>
        </w:rPr>
        <w:t>, que con la reforma no resulta acreditado</w:t>
      </w:r>
      <w:r w:rsidR="00E31B4B" w:rsidRPr="004A6098">
        <w:rPr>
          <w:rFonts w:ascii="Palatino Linotype" w:hAnsi="Palatino Linotype"/>
          <w:sz w:val="24"/>
        </w:rPr>
        <w:t>.</w:t>
      </w:r>
    </w:p>
    <w:p w:rsidR="00574D25" w:rsidRPr="004A6098" w:rsidRDefault="00E31B4B" w:rsidP="00B9771D">
      <w:pPr>
        <w:ind w:left="0" w:firstLine="0"/>
        <w:jc w:val="both"/>
        <w:rPr>
          <w:rFonts w:ascii="Palatino Linotype" w:hAnsi="Palatino Linotype"/>
          <w:sz w:val="24"/>
        </w:rPr>
      </w:pPr>
      <w:r w:rsidRPr="004A6098">
        <w:rPr>
          <w:rFonts w:ascii="Palatino Linotype" w:hAnsi="Palatino Linotype"/>
          <w:sz w:val="24"/>
        </w:rPr>
        <w:t xml:space="preserve">En el concurso oposición la inversión de las pruebas, anticipando el dictamen a la </w:t>
      </w:r>
      <w:proofErr w:type="spellStart"/>
      <w:r w:rsidRPr="004A6098">
        <w:rPr>
          <w:rFonts w:ascii="Palatino Linotype" w:hAnsi="Palatino Linotype"/>
          <w:sz w:val="24"/>
        </w:rPr>
        <w:t>baremación</w:t>
      </w:r>
      <w:proofErr w:type="spellEnd"/>
      <w:r w:rsidRPr="004A6098">
        <w:rPr>
          <w:rFonts w:ascii="Palatino Linotype" w:hAnsi="Palatino Linotype"/>
          <w:sz w:val="24"/>
        </w:rPr>
        <w:t xml:space="preserve"> de los méritos, puede que contribuya a la agilidad del proceso, pero no guarda relación alguna con garantizar la alta cualificación técnica de los candidatos</w:t>
      </w:r>
      <w:r w:rsidR="00574D25" w:rsidRPr="004A6098">
        <w:rPr>
          <w:rFonts w:ascii="Palatino Linotype" w:hAnsi="Palatino Linotype"/>
          <w:sz w:val="24"/>
        </w:rPr>
        <w:t>, como se afirma</w:t>
      </w:r>
      <w:r w:rsidRPr="004A6098">
        <w:rPr>
          <w:rFonts w:ascii="Palatino Linotype" w:hAnsi="Palatino Linotype"/>
          <w:sz w:val="24"/>
        </w:rPr>
        <w:t>. Precisamente a lo contrario contribuye la limitación de la entrevista</w:t>
      </w:r>
      <w:r w:rsidR="00574D25" w:rsidRPr="004A6098">
        <w:rPr>
          <w:rFonts w:ascii="Palatino Linotype" w:hAnsi="Palatino Linotype"/>
          <w:sz w:val="24"/>
        </w:rPr>
        <w:t xml:space="preserve"> a los méritos alegados, excluyendo expresamente cualquier cuestión relativa a conocimientos jurídicos. La subjetividad del modelo es palmaria.</w:t>
      </w:r>
    </w:p>
    <w:p w:rsidR="002A41F3" w:rsidRDefault="00574D25" w:rsidP="00574D25">
      <w:pPr>
        <w:ind w:left="0" w:firstLine="0"/>
        <w:jc w:val="both"/>
        <w:rPr>
          <w:rFonts w:ascii="Palatino Linotype" w:hAnsi="Palatino Linotype"/>
          <w:sz w:val="24"/>
        </w:rPr>
      </w:pPr>
      <w:r w:rsidRPr="004A6098">
        <w:rPr>
          <w:rFonts w:ascii="Palatino Linotype" w:hAnsi="Palatino Linotype"/>
          <w:sz w:val="24"/>
        </w:rPr>
        <w:t xml:space="preserve">En definitiva, </w:t>
      </w:r>
      <w:r w:rsidR="0049712A" w:rsidRPr="004A6098">
        <w:rPr>
          <w:rFonts w:ascii="Palatino Linotype" w:hAnsi="Palatino Linotype"/>
          <w:sz w:val="24"/>
        </w:rPr>
        <w:t xml:space="preserve">la </w:t>
      </w:r>
      <w:r w:rsidRPr="004A6098">
        <w:rPr>
          <w:rFonts w:ascii="Palatino Linotype" w:hAnsi="Palatino Linotype"/>
          <w:sz w:val="24"/>
        </w:rPr>
        <w:t>reforma propuesta</w:t>
      </w:r>
      <w:r w:rsidR="002A41F3" w:rsidRPr="004A6098">
        <w:rPr>
          <w:rFonts w:ascii="Palatino Linotype" w:hAnsi="Palatino Linotype"/>
          <w:sz w:val="24"/>
        </w:rPr>
        <w:t xml:space="preserve"> modifica profundamente los procesos de selección</w:t>
      </w:r>
      <w:r w:rsidR="0049712A" w:rsidRPr="004A6098">
        <w:rPr>
          <w:rFonts w:ascii="Palatino Linotype" w:hAnsi="Palatino Linotype"/>
          <w:sz w:val="24"/>
        </w:rPr>
        <w:t xml:space="preserve"> y acceso</w:t>
      </w:r>
      <w:r w:rsidRPr="004A6098">
        <w:rPr>
          <w:rFonts w:ascii="Palatino Linotype" w:hAnsi="Palatino Linotype"/>
          <w:sz w:val="24"/>
        </w:rPr>
        <w:t>, afectando a competencias del Consejo General del Poder Judicial</w:t>
      </w:r>
      <w:r w:rsidR="0049712A" w:rsidRPr="004A6098">
        <w:rPr>
          <w:rFonts w:ascii="Palatino Linotype" w:hAnsi="Palatino Linotype"/>
          <w:sz w:val="24"/>
        </w:rPr>
        <w:t>,</w:t>
      </w:r>
      <w:r w:rsidR="002A41F3" w:rsidRPr="004A6098">
        <w:rPr>
          <w:rFonts w:ascii="Palatino Linotype" w:hAnsi="Palatino Linotype"/>
          <w:sz w:val="24"/>
        </w:rPr>
        <w:t xml:space="preserve"> </w:t>
      </w:r>
      <w:r w:rsidR="0049712A" w:rsidRPr="004A6098">
        <w:rPr>
          <w:rFonts w:ascii="Palatino Linotype" w:hAnsi="Palatino Linotype"/>
          <w:sz w:val="24"/>
        </w:rPr>
        <w:t>no</w:t>
      </w:r>
      <w:r w:rsidR="002A41F3" w:rsidRPr="004A6098">
        <w:rPr>
          <w:rFonts w:ascii="Palatino Linotype" w:hAnsi="Palatino Linotype"/>
          <w:sz w:val="24"/>
        </w:rPr>
        <w:t xml:space="preserve"> respeta los principios de igualdad, méri</w:t>
      </w:r>
      <w:r w:rsidR="00FC418E" w:rsidRPr="004A6098">
        <w:rPr>
          <w:rFonts w:ascii="Palatino Linotype" w:hAnsi="Palatino Linotype"/>
          <w:sz w:val="24"/>
        </w:rPr>
        <w:t>to y capacidad que deben regir</w:t>
      </w:r>
      <w:r w:rsidR="002A41F3" w:rsidRPr="004A6098">
        <w:rPr>
          <w:rFonts w:ascii="Palatino Linotype" w:hAnsi="Palatino Linotype"/>
          <w:sz w:val="24"/>
        </w:rPr>
        <w:t xml:space="preserve"> el acceso a la función pública</w:t>
      </w:r>
      <w:r w:rsidR="00FC418E" w:rsidRPr="004A6098">
        <w:rPr>
          <w:rFonts w:ascii="Palatino Linotype" w:hAnsi="Palatino Linotype"/>
          <w:sz w:val="24"/>
        </w:rPr>
        <w:t>, al tiempo que rebaja la garantía de excelencia</w:t>
      </w:r>
      <w:r w:rsidR="002A41F3" w:rsidRPr="004A6098">
        <w:rPr>
          <w:rFonts w:ascii="Palatino Linotype" w:hAnsi="Palatino Linotype"/>
          <w:sz w:val="24"/>
        </w:rPr>
        <w:t xml:space="preserve">. </w:t>
      </w:r>
    </w:p>
    <w:p w:rsidR="001A3910" w:rsidRPr="004A6098" w:rsidRDefault="001A3910" w:rsidP="00574D25">
      <w:pPr>
        <w:ind w:left="0" w:firstLine="0"/>
        <w:jc w:val="both"/>
        <w:rPr>
          <w:rFonts w:ascii="Palatino Linotype" w:hAnsi="Palatino Linotype"/>
          <w:sz w:val="24"/>
        </w:rPr>
      </w:pPr>
    </w:p>
    <w:p w:rsidR="00FC418E" w:rsidRPr="004A6098" w:rsidRDefault="00FC418E" w:rsidP="00574D25">
      <w:pPr>
        <w:ind w:left="0" w:firstLine="0"/>
        <w:jc w:val="both"/>
        <w:rPr>
          <w:rFonts w:ascii="Palatino Linotype" w:hAnsi="Palatino Linotype"/>
          <w:b/>
          <w:i/>
          <w:sz w:val="24"/>
        </w:rPr>
      </w:pPr>
      <w:r w:rsidRPr="004A6098">
        <w:rPr>
          <w:rFonts w:ascii="Palatino Linotype" w:hAnsi="Palatino Linotype"/>
          <w:b/>
          <w:sz w:val="24"/>
        </w:rPr>
        <w:t>2. “</w:t>
      </w:r>
      <w:r w:rsidRPr="004A6098">
        <w:rPr>
          <w:rFonts w:ascii="Palatino Linotype" w:hAnsi="Palatino Linotype"/>
          <w:b/>
          <w:i/>
          <w:sz w:val="24"/>
        </w:rPr>
        <w:t>Proceso extraordinario de regularización de jueces sustitutos, cumpliendo los principios de mérito y capacidad, así como los requerimientos de la Comisión Europea.”</w:t>
      </w:r>
    </w:p>
    <w:p w:rsidR="00FC418E" w:rsidRPr="004A6098" w:rsidRDefault="00FC418E" w:rsidP="00574D25">
      <w:pPr>
        <w:ind w:left="0" w:firstLine="0"/>
        <w:jc w:val="both"/>
        <w:rPr>
          <w:rFonts w:ascii="Palatino Linotype" w:hAnsi="Palatino Linotype"/>
          <w:sz w:val="24"/>
        </w:rPr>
      </w:pPr>
      <w:r w:rsidRPr="004A6098">
        <w:rPr>
          <w:rFonts w:ascii="Palatino Linotype" w:hAnsi="Palatino Linotype"/>
          <w:sz w:val="24"/>
        </w:rPr>
        <w:t>En este apartado, desde su enunciado, se incurre en contradicciones e interpretaciones sesgadas de la fundamentación que se aduce.</w:t>
      </w:r>
    </w:p>
    <w:p w:rsidR="00FC418E" w:rsidRPr="004A6098" w:rsidRDefault="00FC418E" w:rsidP="00574D25">
      <w:pPr>
        <w:ind w:left="0" w:firstLine="0"/>
        <w:jc w:val="both"/>
        <w:rPr>
          <w:rFonts w:ascii="Palatino Linotype" w:hAnsi="Palatino Linotype"/>
          <w:sz w:val="24"/>
        </w:rPr>
      </w:pPr>
      <w:r w:rsidRPr="004A6098">
        <w:rPr>
          <w:rFonts w:ascii="Palatino Linotype" w:hAnsi="Palatino Linotype"/>
          <w:sz w:val="24"/>
        </w:rPr>
        <w:t>No se garantiza que sea extraordinario, por cuanto que se sigue abusando de la temporalidad, posibilitando en el futuro nuevos procesos de la misma naturaleza.</w:t>
      </w:r>
      <w:r w:rsidR="0049712A" w:rsidRPr="004A6098">
        <w:rPr>
          <w:rFonts w:ascii="Palatino Linotype" w:hAnsi="Palatino Linotype"/>
          <w:sz w:val="24"/>
        </w:rPr>
        <w:t xml:space="preserve"> </w:t>
      </w:r>
    </w:p>
    <w:p w:rsidR="009D664E" w:rsidRDefault="00FC418E" w:rsidP="00574D25">
      <w:pPr>
        <w:ind w:left="0" w:firstLine="0"/>
        <w:jc w:val="both"/>
        <w:rPr>
          <w:rFonts w:ascii="Palatino Linotype" w:hAnsi="Palatino Linotype"/>
          <w:sz w:val="24"/>
        </w:rPr>
      </w:pPr>
      <w:r w:rsidRPr="004A6098">
        <w:rPr>
          <w:rFonts w:ascii="Palatino Linotype" w:hAnsi="Palatino Linotype"/>
          <w:sz w:val="24"/>
        </w:rPr>
        <w:t>Las recomendaciones de la Comisión Europea y la doctrina del TJUE exigen acabar con la temporalidad en el empleo público, pero ello no justifica integrar a empleados públicos en las carreras judicial y fiscal con vulneración de los principios de igualdad, mérito y capacidad. Y en el mismo sentido se ha</w:t>
      </w:r>
      <w:r w:rsidR="001A3910">
        <w:rPr>
          <w:rFonts w:ascii="Palatino Linotype" w:hAnsi="Palatino Linotype"/>
          <w:sz w:val="24"/>
        </w:rPr>
        <w:t>n</w:t>
      </w:r>
      <w:r w:rsidRPr="004A6098">
        <w:rPr>
          <w:rFonts w:ascii="Palatino Linotype" w:hAnsi="Palatino Linotype"/>
          <w:sz w:val="24"/>
        </w:rPr>
        <w:t xml:space="preserve"> pronunciado el Tribunal Supremo y el Tribunal Constitucional</w:t>
      </w:r>
      <w:r w:rsidR="004216E9" w:rsidRPr="004A6098">
        <w:rPr>
          <w:rFonts w:ascii="Palatino Linotype" w:hAnsi="Palatino Linotype"/>
          <w:sz w:val="24"/>
        </w:rPr>
        <w:t xml:space="preserve">. Se siguen nombrando sustitutos y suplentes, reincidiendo en el abuso que se pretende </w:t>
      </w:r>
      <w:r w:rsidR="004216E9" w:rsidRPr="004A6098">
        <w:rPr>
          <w:rFonts w:ascii="Palatino Linotype" w:hAnsi="Palatino Linotype"/>
          <w:sz w:val="24"/>
        </w:rPr>
        <w:lastRenderedPageBreak/>
        <w:t xml:space="preserve">acotar. </w:t>
      </w:r>
      <w:r w:rsidR="0049712A" w:rsidRPr="004A6098">
        <w:rPr>
          <w:rFonts w:ascii="Palatino Linotype" w:hAnsi="Palatino Linotype"/>
          <w:sz w:val="24"/>
        </w:rPr>
        <w:t>La</w:t>
      </w:r>
      <w:r w:rsidR="004216E9" w:rsidRPr="004A6098">
        <w:rPr>
          <w:rFonts w:ascii="Palatino Linotype" w:hAnsi="Palatino Linotype"/>
          <w:sz w:val="24"/>
        </w:rPr>
        <w:t xml:space="preserve"> regularización debe producirse en el ámbito que les corresponde, como empleados públicos, no como jueces de carrera a través de una puerta arbitraria diseñada al efecto y sin garantías.</w:t>
      </w:r>
      <w:r w:rsidR="009D664E">
        <w:rPr>
          <w:rFonts w:ascii="Palatino Linotype" w:hAnsi="Palatino Linotype"/>
          <w:sz w:val="24"/>
        </w:rPr>
        <w:t xml:space="preserve"> </w:t>
      </w:r>
    </w:p>
    <w:p w:rsidR="004216E9" w:rsidRPr="004A6098" w:rsidRDefault="004216E9" w:rsidP="00574D25">
      <w:pPr>
        <w:ind w:left="0" w:firstLine="0"/>
        <w:jc w:val="both"/>
        <w:rPr>
          <w:rFonts w:ascii="Palatino Linotype" w:hAnsi="Palatino Linotype"/>
          <w:sz w:val="24"/>
        </w:rPr>
      </w:pPr>
      <w:r w:rsidRPr="004A6098">
        <w:rPr>
          <w:rFonts w:ascii="Palatino Linotype" w:hAnsi="Palatino Linotype"/>
          <w:sz w:val="24"/>
        </w:rPr>
        <w:t xml:space="preserve">No es cierto que </w:t>
      </w:r>
      <w:r w:rsidR="009D664E">
        <w:rPr>
          <w:rFonts w:ascii="Palatino Linotype" w:hAnsi="Palatino Linotype"/>
          <w:sz w:val="24"/>
        </w:rPr>
        <w:t xml:space="preserve">este proceso de regularización </w:t>
      </w:r>
      <w:r w:rsidRPr="004A6098">
        <w:rPr>
          <w:rFonts w:ascii="Palatino Linotype" w:hAnsi="Palatino Linotype"/>
          <w:sz w:val="24"/>
        </w:rPr>
        <w:t>se equipare al concurso-oposición, para el que se exigen 10 años de ejercicio profesional, y no 5. Al tiempo que son de aplicación los mismos reproches que al concurso-</w:t>
      </w:r>
      <w:proofErr w:type="spellStart"/>
      <w:r w:rsidRPr="004A6098">
        <w:rPr>
          <w:rFonts w:ascii="Palatino Linotype" w:hAnsi="Palatino Linotype"/>
          <w:sz w:val="24"/>
        </w:rPr>
        <w:t>oposicion</w:t>
      </w:r>
      <w:proofErr w:type="spellEnd"/>
      <w:r w:rsidRPr="004A6098">
        <w:rPr>
          <w:rFonts w:ascii="Palatino Linotype" w:hAnsi="Palatino Linotype"/>
          <w:sz w:val="24"/>
        </w:rPr>
        <w:t xml:space="preserve">: </w:t>
      </w:r>
      <w:r w:rsidR="009D664E">
        <w:rPr>
          <w:rFonts w:ascii="Palatino Linotype" w:hAnsi="Palatino Linotype"/>
          <w:sz w:val="24"/>
        </w:rPr>
        <w:t xml:space="preserve">principalmente, </w:t>
      </w:r>
      <w:r w:rsidRPr="004A6098">
        <w:rPr>
          <w:rFonts w:ascii="Palatino Linotype" w:hAnsi="Palatino Linotype"/>
          <w:sz w:val="24"/>
        </w:rPr>
        <w:t>falta de objetividad</w:t>
      </w:r>
      <w:r w:rsidR="009D664E">
        <w:rPr>
          <w:rFonts w:ascii="Palatino Linotype" w:hAnsi="Palatino Linotype"/>
          <w:sz w:val="24"/>
        </w:rPr>
        <w:t xml:space="preserve"> y </w:t>
      </w:r>
      <w:r w:rsidRPr="004A6098">
        <w:rPr>
          <w:rFonts w:ascii="Palatino Linotype" w:hAnsi="Palatino Linotype"/>
          <w:sz w:val="24"/>
        </w:rPr>
        <w:t>vulneración de mérito y capacidad</w:t>
      </w:r>
      <w:r w:rsidR="0049712A" w:rsidRPr="004A6098">
        <w:rPr>
          <w:rFonts w:ascii="Palatino Linotype" w:hAnsi="Palatino Linotype"/>
          <w:sz w:val="24"/>
        </w:rPr>
        <w:t>, al</w:t>
      </w:r>
      <w:r w:rsidRPr="004A6098">
        <w:rPr>
          <w:rFonts w:ascii="Palatino Linotype" w:hAnsi="Palatino Linotype"/>
          <w:sz w:val="24"/>
        </w:rPr>
        <w:t xml:space="preserve"> no garantizarse acreditación de conocimientos jurídicos. A los que cabe añadir vulneración flagrante del principio de igualdad,</w:t>
      </w:r>
      <w:r w:rsidR="00B42D10" w:rsidRPr="004A6098">
        <w:rPr>
          <w:rFonts w:ascii="Palatino Linotype" w:hAnsi="Palatino Linotype"/>
          <w:sz w:val="24"/>
        </w:rPr>
        <w:t xml:space="preserve"> siendo evidente el agravio comparativo con el acceso legítimo a la categoría de juez por el turno libre.</w:t>
      </w:r>
      <w:r w:rsidR="009D664E">
        <w:rPr>
          <w:rFonts w:ascii="Palatino Linotype" w:hAnsi="Palatino Linotype"/>
          <w:sz w:val="24"/>
        </w:rPr>
        <w:t xml:space="preserve"> Acceden como jueces sin invertir una media de 4 </w:t>
      </w:r>
      <w:proofErr w:type="spellStart"/>
      <w:r w:rsidR="009D664E">
        <w:rPr>
          <w:rFonts w:ascii="Palatino Linotype" w:hAnsi="Palatino Linotype"/>
          <w:sz w:val="24"/>
        </w:rPr>
        <w:t>ó</w:t>
      </w:r>
      <w:proofErr w:type="spellEnd"/>
      <w:r w:rsidR="009D664E">
        <w:rPr>
          <w:rFonts w:ascii="Palatino Linotype" w:hAnsi="Palatino Linotype"/>
          <w:sz w:val="24"/>
        </w:rPr>
        <w:t xml:space="preserve"> 5 años de estudio, con la excusa de reconocer un ejercicio profesional que puede valorarse a través de concurso-oposición.</w:t>
      </w:r>
    </w:p>
    <w:p w:rsidR="00B42D10" w:rsidRPr="004A6098" w:rsidRDefault="00B42D10" w:rsidP="00574D25">
      <w:pPr>
        <w:ind w:left="0" w:firstLine="0"/>
        <w:jc w:val="both"/>
        <w:rPr>
          <w:rFonts w:ascii="Palatino Linotype" w:hAnsi="Palatino Linotype"/>
          <w:sz w:val="24"/>
        </w:rPr>
      </w:pPr>
      <w:r w:rsidRPr="004A6098">
        <w:rPr>
          <w:rFonts w:ascii="Palatino Linotype" w:hAnsi="Palatino Linotype"/>
          <w:sz w:val="24"/>
        </w:rPr>
        <w:t>La oportunidad de acceso a la carrera judicial y fiscal por parte de estos profesionales debe ser a través del turno libre, o por un concurso-oposición con garantías, al igual que el resto de licenciados y profesionales jurídicos.</w:t>
      </w:r>
    </w:p>
    <w:p w:rsidR="00B42D10" w:rsidRDefault="00B42D10" w:rsidP="00574D25">
      <w:pPr>
        <w:ind w:left="0" w:firstLine="0"/>
        <w:jc w:val="both"/>
        <w:rPr>
          <w:rFonts w:ascii="Palatino Linotype" w:hAnsi="Palatino Linotype"/>
          <w:sz w:val="24"/>
        </w:rPr>
      </w:pPr>
      <w:r w:rsidRPr="004A6098">
        <w:rPr>
          <w:rFonts w:ascii="Palatino Linotype" w:hAnsi="Palatino Linotype"/>
          <w:sz w:val="24"/>
        </w:rPr>
        <w:t>Evitar una eventual sanción por incumplimiento de Derecho de la Unión Europea pasa por no reincidir en el abuso de temporalidad y regularizar a los ya afectados en el ámbito que les corresponde, sin vulneración de garantías y principios constitucionales.</w:t>
      </w:r>
    </w:p>
    <w:p w:rsidR="001A3910" w:rsidRPr="004A6098" w:rsidRDefault="001A3910" w:rsidP="00574D25">
      <w:pPr>
        <w:ind w:left="0" w:firstLine="0"/>
        <w:jc w:val="both"/>
        <w:rPr>
          <w:rFonts w:ascii="Palatino Linotype" w:hAnsi="Palatino Linotype"/>
          <w:sz w:val="24"/>
        </w:rPr>
      </w:pPr>
    </w:p>
    <w:p w:rsidR="00B42D10" w:rsidRPr="004A6098" w:rsidRDefault="00B42D10" w:rsidP="00574D25">
      <w:pPr>
        <w:ind w:left="0" w:firstLine="0"/>
        <w:jc w:val="both"/>
        <w:rPr>
          <w:rFonts w:ascii="Palatino Linotype" w:hAnsi="Palatino Linotype"/>
          <w:b/>
          <w:i/>
          <w:sz w:val="24"/>
        </w:rPr>
      </w:pPr>
      <w:r w:rsidRPr="004A6098">
        <w:rPr>
          <w:rFonts w:ascii="Palatino Linotype" w:hAnsi="Palatino Linotype"/>
          <w:b/>
          <w:sz w:val="24"/>
        </w:rPr>
        <w:t>3. “</w:t>
      </w:r>
      <w:r w:rsidRPr="00A2468F">
        <w:rPr>
          <w:rFonts w:ascii="Palatino Linotype" w:hAnsi="Palatino Linotype"/>
          <w:b/>
          <w:i/>
          <w:sz w:val="24"/>
        </w:rPr>
        <w:t>Becas SERÉ para garantizar la igualdad en el acceso a la carrera</w:t>
      </w:r>
      <w:r w:rsidRPr="004A6098">
        <w:rPr>
          <w:rFonts w:ascii="Palatino Linotype" w:hAnsi="Palatino Linotype"/>
          <w:b/>
          <w:sz w:val="24"/>
        </w:rPr>
        <w:t>.”</w:t>
      </w:r>
    </w:p>
    <w:p w:rsidR="00B42D10" w:rsidRDefault="00B42D10" w:rsidP="00574D25">
      <w:pPr>
        <w:ind w:left="0" w:firstLine="0"/>
        <w:jc w:val="both"/>
        <w:rPr>
          <w:rFonts w:ascii="Palatino Linotype" w:hAnsi="Palatino Linotype"/>
          <w:sz w:val="24"/>
        </w:rPr>
      </w:pPr>
      <w:r w:rsidRPr="004A6098">
        <w:rPr>
          <w:rFonts w:ascii="Palatino Linotype" w:hAnsi="Palatino Linotype"/>
          <w:sz w:val="24"/>
        </w:rPr>
        <w:t>Ya valoramos positivamente esta medida, que adecuadamente implantada cumplirá su finalidad.</w:t>
      </w:r>
    </w:p>
    <w:p w:rsidR="001A3910" w:rsidRPr="004A6098" w:rsidRDefault="001A3910" w:rsidP="00574D25">
      <w:pPr>
        <w:ind w:left="0" w:firstLine="0"/>
        <w:jc w:val="both"/>
        <w:rPr>
          <w:rFonts w:ascii="Palatino Linotype" w:hAnsi="Palatino Linotype"/>
          <w:sz w:val="24"/>
        </w:rPr>
      </w:pPr>
    </w:p>
    <w:p w:rsidR="00B42D10" w:rsidRPr="004A6098" w:rsidRDefault="00B42D10" w:rsidP="00574D25">
      <w:pPr>
        <w:ind w:left="0" w:firstLine="0"/>
        <w:jc w:val="both"/>
        <w:rPr>
          <w:rFonts w:ascii="Palatino Linotype" w:hAnsi="Palatino Linotype"/>
          <w:b/>
          <w:i/>
          <w:sz w:val="24"/>
        </w:rPr>
      </w:pPr>
      <w:r w:rsidRPr="004A6098">
        <w:rPr>
          <w:rFonts w:ascii="Palatino Linotype" w:hAnsi="Palatino Linotype"/>
          <w:b/>
          <w:sz w:val="24"/>
        </w:rPr>
        <w:t>4.</w:t>
      </w:r>
      <w:r w:rsidRPr="004A6098">
        <w:rPr>
          <w:rFonts w:ascii="Palatino Linotype" w:hAnsi="Palatino Linotype"/>
          <w:b/>
          <w:i/>
          <w:sz w:val="24"/>
        </w:rPr>
        <w:t xml:space="preserve"> “</w:t>
      </w:r>
      <w:r w:rsidR="00823F88" w:rsidRPr="004A6098">
        <w:rPr>
          <w:rFonts w:ascii="Palatino Linotype" w:hAnsi="Palatino Linotype"/>
          <w:b/>
          <w:i/>
          <w:sz w:val="24"/>
        </w:rPr>
        <w:t xml:space="preserve">El </w:t>
      </w:r>
      <w:r w:rsidRPr="004A6098">
        <w:rPr>
          <w:rFonts w:ascii="Palatino Linotype" w:hAnsi="Palatino Linotype"/>
          <w:b/>
          <w:i/>
          <w:sz w:val="24"/>
        </w:rPr>
        <w:t xml:space="preserve">Centro de Estudios Jurídicos </w:t>
      </w:r>
      <w:r w:rsidR="00823F88" w:rsidRPr="004A6098">
        <w:rPr>
          <w:rFonts w:ascii="Palatino Linotype" w:hAnsi="Palatino Linotype"/>
          <w:b/>
          <w:i/>
          <w:sz w:val="24"/>
        </w:rPr>
        <w:t xml:space="preserve">se convertirá </w:t>
      </w:r>
      <w:r w:rsidRPr="004A6098">
        <w:rPr>
          <w:rFonts w:ascii="Palatino Linotype" w:hAnsi="Palatino Linotype"/>
          <w:b/>
          <w:i/>
          <w:sz w:val="24"/>
        </w:rPr>
        <w:t>en un centro público de preparación de oposiciones”</w:t>
      </w:r>
    </w:p>
    <w:p w:rsidR="00823F88" w:rsidRDefault="00823F88" w:rsidP="00574D25">
      <w:pPr>
        <w:ind w:left="0" w:firstLine="0"/>
        <w:jc w:val="both"/>
        <w:rPr>
          <w:rFonts w:ascii="Palatino Linotype" w:hAnsi="Palatino Linotype"/>
          <w:sz w:val="24"/>
        </w:rPr>
      </w:pPr>
      <w:r w:rsidRPr="004A6098">
        <w:rPr>
          <w:rFonts w:ascii="Palatino Linotype" w:hAnsi="Palatino Linotype"/>
          <w:sz w:val="24"/>
        </w:rPr>
        <w:t xml:space="preserve">La regulación es imprecisa, con remisión reglamentaria, sin que conste su implantación a nivel nacional para posibilitar el acceso en todo el territorio ni los requisitos de selección de candidatos. La asunción de competencia en materia de capacitación o preparación, además de la concesión de becas, </w:t>
      </w:r>
      <w:r w:rsidR="0049712A" w:rsidRPr="004A6098">
        <w:rPr>
          <w:rFonts w:ascii="Palatino Linotype" w:hAnsi="Palatino Linotype"/>
          <w:sz w:val="24"/>
        </w:rPr>
        <w:t xml:space="preserve">al menos </w:t>
      </w:r>
      <w:r w:rsidRPr="004A6098">
        <w:rPr>
          <w:rFonts w:ascii="Palatino Linotype" w:hAnsi="Palatino Linotype"/>
          <w:sz w:val="24"/>
        </w:rPr>
        <w:t>en lo que respecta a las carreras judicial y fiscal</w:t>
      </w:r>
      <w:r w:rsidR="0049712A" w:rsidRPr="004A6098">
        <w:rPr>
          <w:rFonts w:ascii="Palatino Linotype" w:hAnsi="Palatino Linotype"/>
          <w:sz w:val="24"/>
        </w:rPr>
        <w:t>,</w:t>
      </w:r>
      <w:r w:rsidRPr="004A6098">
        <w:rPr>
          <w:rFonts w:ascii="Palatino Linotype" w:hAnsi="Palatino Linotype"/>
          <w:sz w:val="24"/>
        </w:rPr>
        <w:t xml:space="preserve"> supone un riesgo de control ideológico o, cuando menos, cuestionable desde el prisma del principio de separación de poderes.</w:t>
      </w:r>
    </w:p>
    <w:p w:rsidR="00520AA4" w:rsidRDefault="00520AA4" w:rsidP="00574D25">
      <w:pPr>
        <w:ind w:left="0" w:firstLine="0"/>
        <w:jc w:val="both"/>
        <w:rPr>
          <w:rFonts w:ascii="Palatino Linotype" w:hAnsi="Palatino Linotype"/>
          <w:sz w:val="24"/>
        </w:rPr>
      </w:pPr>
      <w:r w:rsidRPr="00520AA4">
        <w:rPr>
          <w:rFonts w:ascii="Palatino Linotype" w:hAnsi="Palatino Linotype"/>
          <w:sz w:val="24"/>
        </w:rPr>
        <w:lastRenderedPageBreak/>
        <w:t>La actividad y desarrollo de la preparación de las oposiciones, si se considera de interés regular esta materia, debería encomendarse a autoridad u órgano plenamente independiente.</w:t>
      </w:r>
    </w:p>
    <w:p w:rsidR="00A2468F" w:rsidRPr="00520AA4" w:rsidRDefault="00A2468F" w:rsidP="00574D25">
      <w:pPr>
        <w:ind w:left="0" w:firstLine="0"/>
        <w:jc w:val="both"/>
        <w:rPr>
          <w:rFonts w:ascii="Palatino Linotype" w:hAnsi="Palatino Linotype"/>
          <w:sz w:val="24"/>
        </w:rPr>
      </w:pPr>
    </w:p>
    <w:p w:rsidR="00823F88" w:rsidRPr="004A6098" w:rsidRDefault="00823F88" w:rsidP="00574D25">
      <w:pPr>
        <w:ind w:left="0" w:firstLine="0"/>
        <w:jc w:val="both"/>
        <w:rPr>
          <w:rFonts w:ascii="Palatino Linotype" w:hAnsi="Palatino Linotype"/>
          <w:b/>
          <w:sz w:val="24"/>
        </w:rPr>
      </w:pPr>
      <w:proofErr w:type="gramStart"/>
      <w:r w:rsidRPr="004A6098">
        <w:rPr>
          <w:rFonts w:ascii="Palatino Linotype" w:hAnsi="Palatino Linotype"/>
          <w:b/>
          <w:sz w:val="24"/>
        </w:rPr>
        <w:t>5. ”</w:t>
      </w:r>
      <w:r w:rsidRPr="00A2468F">
        <w:rPr>
          <w:rFonts w:ascii="Palatino Linotype" w:hAnsi="Palatino Linotype"/>
          <w:b/>
          <w:i/>
          <w:sz w:val="24"/>
        </w:rPr>
        <w:t>Introducir</w:t>
      </w:r>
      <w:proofErr w:type="gramEnd"/>
      <w:r w:rsidRPr="00A2468F">
        <w:rPr>
          <w:rFonts w:ascii="Palatino Linotype" w:hAnsi="Palatino Linotype"/>
          <w:b/>
          <w:i/>
          <w:sz w:val="24"/>
        </w:rPr>
        <w:t xml:space="preserve"> pluralidad en la Comisión de Ética Judicial</w:t>
      </w:r>
      <w:r w:rsidRPr="004A6098">
        <w:rPr>
          <w:rFonts w:ascii="Palatino Linotype" w:hAnsi="Palatino Linotype"/>
          <w:b/>
          <w:sz w:val="24"/>
        </w:rPr>
        <w:t>.”</w:t>
      </w:r>
    </w:p>
    <w:p w:rsidR="001A3910" w:rsidRDefault="00BC6DF7" w:rsidP="00574D25">
      <w:pPr>
        <w:ind w:left="0" w:firstLine="0"/>
        <w:jc w:val="both"/>
        <w:rPr>
          <w:rFonts w:ascii="Palatino Linotype" w:hAnsi="Palatino Linotype"/>
          <w:sz w:val="24"/>
        </w:rPr>
      </w:pPr>
      <w:r w:rsidRPr="004A6098">
        <w:rPr>
          <w:rFonts w:ascii="Palatino Linotype" w:hAnsi="Palatino Linotype"/>
          <w:sz w:val="24"/>
        </w:rPr>
        <w:t xml:space="preserve">La inclusión de 4 de los 9 miembros designados por las Cortes Generales convierte un órgano técnico y consultivo en un instrumento vulnerable a injerencias externas, con riesgo de su politización, deslegitimando su función. La experiencia acredita que competencias similares de las CCGG son sustituidas por el reparto partidista entre los dos partidos políticos mayoritarios, como viene sucediendo desde hace décadas en el CGPJ y se refleja en los nombramientos discrecionales que el órgano de gobierno del Poder Judicial realiza, mediante una impostada unanimidad. </w:t>
      </w:r>
    </w:p>
    <w:p w:rsidR="00520AA4" w:rsidRPr="004A6098" w:rsidRDefault="00520AA4" w:rsidP="00574D25">
      <w:pPr>
        <w:ind w:left="0" w:firstLine="0"/>
        <w:jc w:val="both"/>
        <w:rPr>
          <w:rFonts w:ascii="Palatino Linotype" w:hAnsi="Palatino Linotype"/>
          <w:sz w:val="24"/>
        </w:rPr>
      </w:pPr>
    </w:p>
    <w:p w:rsidR="00BC6DF7" w:rsidRPr="004A6098" w:rsidRDefault="00BC6DF7" w:rsidP="00574D25">
      <w:pPr>
        <w:ind w:left="0" w:firstLine="0"/>
        <w:jc w:val="both"/>
        <w:rPr>
          <w:rFonts w:ascii="Palatino Linotype" w:hAnsi="Palatino Linotype"/>
          <w:b/>
          <w:i/>
          <w:sz w:val="24"/>
        </w:rPr>
      </w:pPr>
      <w:r w:rsidRPr="004A6098">
        <w:rPr>
          <w:rFonts w:ascii="Palatino Linotype" w:hAnsi="Palatino Linotype"/>
          <w:b/>
          <w:sz w:val="24"/>
        </w:rPr>
        <w:t>6.</w:t>
      </w:r>
      <w:r w:rsidRPr="004A6098">
        <w:rPr>
          <w:rFonts w:ascii="Palatino Linotype" w:hAnsi="Palatino Linotype"/>
          <w:b/>
          <w:i/>
          <w:sz w:val="24"/>
        </w:rPr>
        <w:t xml:space="preserve"> “Cumplimiento efectivo del porcentaje de cuarto turno y reconocimiento de 5 años de servicios.”</w:t>
      </w:r>
    </w:p>
    <w:p w:rsidR="00FC418E" w:rsidRPr="004A6098" w:rsidRDefault="00BC6DF7" w:rsidP="00574D25">
      <w:pPr>
        <w:ind w:left="0" w:firstLine="0"/>
        <w:jc w:val="both"/>
        <w:rPr>
          <w:rFonts w:ascii="Palatino Linotype" w:hAnsi="Palatino Linotype"/>
          <w:sz w:val="24"/>
        </w:rPr>
      </w:pPr>
      <w:r w:rsidRPr="004A6098">
        <w:rPr>
          <w:rFonts w:ascii="Palatino Linotype" w:hAnsi="Palatino Linotype"/>
          <w:sz w:val="24"/>
        </w:rPr>
        <w:t>En el Proyecto no existe el cuarto turno, sino concurso-oposición, pretendiendo ahora reservar, no ya 1 de cada 4 plazas de Magistrado, sino un mínimo de 1 de cada 3 de las convocadas por el turno libre</w:t>
      </w:r>
      <w:r w:rsidR="006B64BA" w:rsidRPr="004A6098">
        <w:rPr>
          <w:rFonts w:ascii="Palatino Linotype" w:hAnsi="Palatino Linotype"/>
          <w:sz w:val="24"/>
        </w:rPr>
        <w:t xml:space="preserve">, sin establecer máximo, dejando así a criterio político lo que en la práctica </w:t>
      </w:r>
      <w:r w:rsidR="00520AA4">
        <w:rPr>
          <w:rFonts w:ascii="Palatino Linotype" w:hAnsi="Palatino Linotype"/>
          <w:sz w:val="24"/>
        </w:rPr>
        <w:t>puede suponer</w:t>
      </w:r>
      <w:r w:rsidR="006B64BA" w:rsidRPr="004A6098">
        <w:rPr>
          <w:rFonts w:ascii="Palatino Linotype" w:hAnsi="Palatino Linotype"/>
          <w:sz w:val="24"/>
        </w:rPr>
        <w:t xml:space="preserve"> convertir esta forma de acceso en </w:t>
      </w:r>
      <w:r w:rsidR="00520AA4">
        <w:rPr>
          <w:rFonts w:ascii="Palatino Linotype" w:hAnsi="Palatino Linotype"/>
          <w:sz w:val="24"/>
        </w:rPr>
        <w:t>principal</w:t>
      </w:r>
      <w:r w:rsidR="006B64BA" w:rsidRPr="004A6098">
        <w:rPr>
          <w:rFonts w:ascii="Palatino Linotype" w:hAnsi="Palatino Linotype"/>
          <w:sz w:val="24"/>
        </w:rPr>
        <w:t>, en detrimento del turno libre y de los que por él acceden con plena legitimidad</w:t>
      </w:r>
      <w:r w:rsidRPr="004A6098">
        <w:rPr>
          <w:rFonts w:ascii="Palatino Linotype" w:hAnsi="Palatino Linotype"/>
          <w:sz w:val="24"/>
        </w:rPr>
        <w:t xml:space="preserve">. El incumplimiento del porcentaje vigente para el cuarto turno deriva de la no creación de plazas de magistrado en la cantidad que </w:t>
      </w:r>
      <w:r w:rsidR="006B64BA" w:rsidRPr="004A6098">
        <w:rPr>
          <w:rFonts w:ascii="Palatino Linotype" w:hAnsi="Palatino Linotype"/>
          <w:sz w:val="24"/>
        </w:rPr>
        <w:t xml:space="preserve">habría sido necesaria, sin que se anuncie el demandado incremento. </w:t>
      </w:r>
    </w:p>
    <w:p w:rsidR="00503679" w:rsidRDefault="006B64BA" w:rsidP="00574D25">
      <w:pPr>
        <w:ind w:left="0" w:firstLine="0"/>
        <w:jc w:val="both"/>
        <w:rPr>
          <w:rFonts w:ascii="Palatino Linotype" w:hAnsi="Palatino Linotype"/>
          <w:sz w:val="24"/>
        </w:rPr>
      </w:pPr>
      <w:r w:rsidRPr="004A6098">
        <w:rPr>
          <w:rFonts w:ascii="Palatino Linotype" w:hAnsi="Palatino Linotype"/>
          <w:sz w:val="24"/>
        </w:rPr>
        <w:t>Inadmisible es el reconocimiento de 5 años de antigüedad ficticia, aunque lo sea a efectos del acceso a cargos de carácter discrecional. Se reconoce con esta limitación cuál es la finalidad de la medida</w:t>
      </w:r>
      <w:r w:rsidR="0049712A" w:rsidRPr="004A6098">
        <w:rPr>
          <w:rFonts w:ascii="Palatino Linotype" w:hAnsi="Palatino Linotype"/>
          <w:sz w:val="24"/>
        </w:rPr>
        <w:t>:</w:t>
      </w:r>
      <w:r w:rsidRPr="004A6098">
        <w:rPr>
          <w:rFonts w:ascii="Palatino Linotype" w:hAnsi="Palatino Linotype"/>
          <w:sz w:val="24"/>
        </w:rPr>
        <w:t xml:space="preserve"> anticipar la posibilidad de acceso a cargos discrecionales, designados por el CGPJ, cuyos vocales, a su vez, se designan políticamente, con el resultado al que estamos asistiendo en la actualidad de nombramientos realizados por reparto de cromos a través de unanimidad fingida</w:t>
      </w:r>
      <w:r w:rsidR="00503679" w:rsidRPr="004A6098">
        <w:rPr>
          <w:rFonts w:ascii="Palatino Linotype" w:hAnsi="Palatino Linotype"/>
          <w:sz w:val="24"/>
        </w:rPr>
        <w:t xml:space="preserve">, en perjuicio de no asociados o asociados a entidad </w:t>
      </w:r>
      <w:r w:rsidR="00520AA4">
        <w:rPr>
          <w:rFonts w:ascii="Palatino Linotype" w:hAnsi="Palatino Linotype"/>
          <w:sz w:val="24"/>
        </w:rPr>
        <w:t>sin representación en el CGPJ.</w:t>
      </w:r>
      <w:r w:rsidR="00503679" w:rsidRPr="004A6098">
        <w:rPr>
          <w:rFonts w:ascii="Palatino Linotype" w:hAnsi="Palatino Linotype"/>
          <w:sz w:val="24"/>
        </w:rPr>
        <w:t xml:space="preserve"> Esta medida limita la promoción profesional de los que acceden por el turno libre, igualando a quienes han acumulado antigüedad real en el ejercicio de la función jurisdiccional con los que acceden por un concurso-oposición que no acredita la capacitación y excelencia de manera objetiva.</w:t>
      </w:r>
    </w:p>
    <w:p w:rsidR="00503679" w:rsidRDefault="00503679" w:rsidP="00574D25">
      <w:pPr>
        <w:ind w:left="0" w:firstLine="0"/>
        <w:jc w:val="both"/>
        <w:rPr>
          <w:rFonts w:ascii="Palatino Linotype" w:hAnsi="Palatino Linotype"/>
          <w:sz w:val="24"/>
        </w:rPr>
      </w:pPr>
      <w:r w:rsidRPr="004A6098">
        <w:rPr>
          <w:rFonts w:ascii="Palatino Linotype" w:hAnsi="Palatino Linotype"/>
          <w:sz w:val="24"/>
        </w:rPr>
        <w:lastRenderedPageBreak/>
        <w:t xml:space="preserve">Así, </w:t>
      </w:r>
      <w:r w:rsidR="00520AA4">
        <w:rPr>
          <w:rFonts w:ascii="Palatino Linotype" w:hAnsi="Palatino Linotype"/>
          <w:sz w:val="24"/>
        </w:rPr>
        <w:t>se podría</w:t>
      </w:r>
      <w:r w:rsidRPr="004A6098">
        <w:rPr>
          <w:rFonts w:ascii="Palatino Linotype" w:hAnsi="Palatino Linotype"/>
          <w:sz w:val="24"/>
        </w:rPr>
        <w:t xml:space="preserve"> designar, por ejemplo, Presidente de Audiencia provincial a quien se presenta sumando 5 años de antigüedad regalada y que no ha ejercido en el órgano colegiado, pasando a gobernar una Audiencia cuyo funcionamiento desconoce, y que es designado frente a </w:t>
      </w:r>
      <w:r w:rsidR="0049712A" w:rsidRPr="004A6098">
        <w:rPr>
          <w:rFonts w:ascii="Palatino Linotype" w:hAnsi="Palatino Linotype"/>
          <w:sz w:val="24"/>
        </w:rPr>
        <w:t xml:space="preserve">eventual </w:t>
      </w:r>
      <w:r w:rsidRPr="004A6098">
        <w:rPr>
          <w:rFonts w:ascii="Palatino Linotype" w:hAnsi="Palatino Linotype"/>
          <w:sz w:val="24"/>
        </w:rPr>
        <w:t>candidato que</w:t>
      </w:r>
      <w:r w:rsidR="0049712A" w:rsidRPr="004A6098">
        <w:rPr>
          <w:rFonts w:ascii="Palatino Linotype" w:hAnsi="Palatino Linotype"/>
          <w:sz w:val="24"/>
        </w:rPr>
        <w:t>,</w:t>
      </w:r>
      <w:r w:rsidRPr="004A6098">
        <w:rPr>
          <w:rFonts w:ascii="Palatino Linotype" w:hAnsi="Palatino Linotype"/>
          <w:sz w:val="24"/>
        </w:rPr>
        <w:t xml:space="preserve"> por su no vinculación asociativa o </w:t>
      </w:r>
      <w:r w:rsidR="0049712A" w:rsidRPr="004A6098">
        <w:rPr>
          <w:rFonts w:ascii="Palatino Linotype" w:hAnsi="Palatino Linotype"/>
          <w:sz w:val="24"/>
        </w:rPr>
        <w:t xml:space="preserve">a </w:t>
      </w:r>
      <w:r w:rsidRPr="004A6098">
        <w:rPr>
          <w:rFonts w:ascii="Palatino Linotype" w:hAnsi="Palatino Linotype"/>
          <w:sz w:val="24"/>
        </w:rPr>
        <w:t>asociación sin presencia en el CGPJ</w:t>
      </w:r>
      <w:r w:rsidR="0049712A" w:rsidRPr="004A6098">
        <w:rPr>
          <w:rFonts w:ascii="Palatino Linotype" w:hAnsi="Palatino Linotype"/>
          <w:sz w:val="24"/>
        </w:rPr>
        <w:t>,</w:t>
      </w:r>
      <w:r w:rsidRPr="004A6098">
        <w:rPr>
          <w:rFonts w:ascii="Palatino Linotype" w:hAnsi="Palatino Linotype"/>
          <w:sz w:val="24"/>
        </w:rPr>
        <w:t xml:space="preserve"> ha ejercido efectivamente el tiempo requerido.</w:t>
      </w:r>
    </w:p>
    <w:p w:rsidR="001A3910" w:rsidRPr="004A6098" w:rsidRDefault="001A3910" w:rsidP="00574D25">
      <w:pPr>
        <w:ind w:left="0" w:firstLine="0"/>
        <w:jc w:val="both"/>
        <w:rPr>
          <w:rFonts w:ascii="Palatino Linotype" w:hAnsi="Palatino Linotype"/>
          <w:sz w:val="24"/>
        </w:rPr>
      </w:pPr>
    </w:p>
    <w:p w:rsidR="00503679" w:rsidRPr="004A6098" w:rsidRDefault="00503679" w:rsidP="00574D25">
      <w:pPr>
        <w:ind w:left="0" w:firstLine="0"/>
        <w:jc w:val="both"/>
        <w:rPr>
          <w:rFonts w:ascii="Palatino Linotype" w:hAnsi="Palatino Linotype"/>
          <w:b/>
          <w:sz w:val="24"/>
        </w:rPr>
      </w:pPr>
      <w:r w:rsidRPr="004A6098">
        <w:rPr>
          <w:rFonts w:ascii="Palatino Linotype" w:hAnsi="Palatino Linotype"/>
          <w:b/>
          <w:sz w:val="24"/>
        </w:rPr>
        <w:t>7. “</w:t>
      </w:r>
      <w:r w:rsidRPr="004A6098">
        <w:rPr>
          <w:rFonts w:ascii="Palatino Linotype" w:hAnsi="Palatino Linotype"/>
          <w:b/>
          <w:i/>
          <w:sz w:val="24"/>
        </w:rPr>
        <w:t>Creación del cuarto turno de fiscales</w:t>
      </w:r>
      <w:r w:rsidRPr="004A6098">
        <w:rPr>
          <w:rFonts w:ascii="Palatino Linotype" w:hAnsi="Palatino Linotype"/>
          <w:b/>
          <w:sz w:val="24"/>
        </w:rPr>
        <w:t>.”</w:t>
      </w:r>
    </w:p>
    <w:p w:rsidR="00503679" w:rsidRDefault="00503679" w:rsidP="00574D25">
      <w:pPr>
        <w:ind w:left="0" w:firstLine="0"/>
        <w:jc w:val="both"/>
        <w:rPr>
          <w:rFonts w:ascii="Palatino Linotype" w:hAnsi="Palatino Linotype"/>
          <w:sz w:val="24"/>
        </w:rPr>
      </w:pPr>
      <w:r w:rsidRPr="004A6098">
        <w:rPr>
          <w:rFonts w:ascii="Palatino Linotype" w:hAnsi="Palatino Linotype"/>
          <w:sz w:val="24"/>
        </w:rPr>
        <w:t>Equiparar en rebaja de garantías a ambas carreras no es plausible, y reiterar que no es cuarto turno, sino como mínimo tercero</w:t>
      </w:r>
      <w:r w:rsidR="008E3214" w:rsidRPr="004A6098">
        <w:rPr>
          <w:rFonts w:ascii="Palatino Linotype" w:hAnsi="Palatino Linotype"/>
          <w:sz w:val="24"/>
        </w:rPr>
        <w:t>, al reservarse una de cada 3 plazas convocadas</w:t>
      </w:r>
      <w:r w:rsidR="0049712A" w:rsidRPr="004A6098">
        <w:rPr>
          <w:rFonts w:ascii="Palatino Linotype" w:hAnsi="Palatino Linotype"/>
          <w:sz w:val="24"/>
        </w:rPr>
        <w:t>, sin tope máximo</w:t>
      </w:r>
      <w:r w:rsidR="008E3214" w:rsidRPr="004A6098">
        <w:rPr>
          <w:rFonts w:ascii="Palatino Linotype" w:hAnsi="Palatino Linotype"/>
          <w:sz w:val="24"/>
        </w:rPr>
        <w:t>.</w:t>
      </w:r>
    </w:p>
    <w:p w:rsidR="001A3910" w:rsidRPr="004A6098" w:rsidRDefault="001A3910" w:rsidP="00574D25">
      <w:pPr>
        <w:ind w:left="0" w:firstLine="0"/>
        <w:jc w:val="both"/>
        <w:rPr>
          <w:rFonts w:ascii="Palatino Linotype" w:hAnsi="Palatino Linotype"/>
          <w:sz w:val="24"/>
        </w:rPr>
      </w:pPr>
    </w:p>
    <w:p w:rsidR="008E3214" w:rsidRPr="004A6098" w:rsidRDefault="008E3214" w:rsidP="00574D25">
      <w:pPr>
        <w:ind w:left="0" w:firstLine="0"/>
        <w:jc w:val="both"/>
        <w:rPr>
          <w:rFonts w:ascii="Palatino Linotype" w:hAnsi="Palatino Linotype"/>
          <w:b/>
          <w:sz w:val="24"/>
        </w:rPr>
      </w:pPr>
      <w:r w:rsidRPr="004A6098">
        <w:rPr>
          <w:rFonts w:ascii="Palatino Linotype" w:hAnsi="Palatino Linotype"/>
          <w:b/>
          <w:sz w:val="24"/>
        </w:rPr>
        <w:t xml:space="preserve">8. </w:t>
      </w:r>
      <w:r w:rsidRPr="004A6098">
        <w:rPr>
          <w:rFonts w:ascii="Palatino Linotype" w:hAnsi="Palatino Linotype"/>
          <w:b/>
          <w:i/>
          <w:sz w:val="24"/>
        </w:rPr>
        <w:t>“Supresión de la fase de sustitución y refuerzo.”</w:t>
      </w:r>
    </w:p>
    <w:p w:rsidR="008E3214" w:rsidRDefault="008E3214" w:rsidP="00574D25">
      <w:pPr>
        <w:ind w:left="0" w:firstLine="0"/>
        <w:jc w:val="both"/>
        <w:rPr>
          <w:rFonts w:ascii="Palatino Linotype" w:hAnsi="Palatino Linotype"/>
          <w:b/>
          <w:sz w:val="24"/>
        </w:rPr>
      </w:pPr>
      <w:r w:rsidRPr="004A6098">
        <w:rPr>
          <w:rFonts w:ascii="Palatino Linotype" w:hAnsi="Palatino Linotype"/>
          <w:sz w:val="24"/>
        </w:rPr>
        <w:t xml:space="preserve">Es una medida </w:t>
      </w:r>
      <w:r w:rsidR="0049712A" w:rsidRPr="004A6098">
        <w:rPr>
          <w:rFonts w:ascii="Palatino Linotype" w:hAnsi="Palatino Linotype"/>
          <w:sz w:val="24"/>
        </w:rPr>
        <w:t xml:space="preserve">cuya supresión ha sido </w:t>
      </w:r>
      <w:r w:rsidRPr="004A6098">
        <w:rPr>
          <w:rFonts w:ascii="Palatino Linotype" w:hAnsi="Palatino Linotype"/>
          <w:sz w:val="24"/>
        </w:rPr>
        <w:t xml:space="preserve">demandada por nuestra asociación desde </w:t>
      </w:r>
      <w:r w:rsidR="0049712A" w:rsidRPr="004A6098">
        <w:rPr>
          <w:rFonts w:ascii="Palatino Linotype" w:hAnsi="Palatino Linotype"/>
          <w:sz w:val="24"/>
        </w:rPr>
        <w:t>que se implantó</w:t>
      </w:r>
      <w:r w:rsidRPr="004A6098">
        <w:rPr>
          <w:rFonts w:ascii="Palatino Linotype" w:hAnsi="Palatino Linotype"/>
          <w:sz w:val="24"/>
        </w:rPr>
        <w:t xml:space="preserve">, </w:t>
      </w:r>
      <w:r w:rsidR="0049712A" w:rsidRPr="004A6098">
        <w:rPr>
          <w:rFonts w:ascii="Palatino Linotype" w:hAnsi="Palatino Linotype"/>
          <w:sz w:val="24"/>
        </w:rPr>
        <w:t>y lo</w:t>
      </w:r>
      <w:r w:rsidRPr="004A6098">
        <w:rPr>
          <w:rFonts w:ascii="Palatino Linotype" w:hAnsi="Palatino Linotype"/>
          <w:sz w:val="24"/>
        </w:rPr>
        <w:t xml:space="preserve"> celebramos</w:t>
      </w:r>
      <w:r w:rsidRPr="004A6098">
        <w:rPr>
          <w:rFonts w:ascii="Palatino Linotype" w:hAnsi="Palatino Linotype"/>
          <w:b/>
          <w:sz w:val="24"/>
        </w:rPr>
        <w:t>.</w:t>
      </w:r>
    </w:p>
    <w:p w:rsidR="001A3910" w:rsidRPr="004A6098" w:rsidRDefault="001A3910" w:rsidP="00574D25">
      <w:pPr>
        <w:ind w:left="0" w:firstLine="0"/>
        <w:jc w:val="both"/>
        <w:rPr>
          <w:rFonts w:ascii="Palatino Linotype" w:hAnsi="Palatino Linotype"/>
          <w:b/>
          <w:sz w:val="24"/>
        </w:rPr>
      </w:pPr>
    </w:p>
    <w:p w:rsidR="008E3214" w:rsidRPr="004A6098" w:rsidRDefault="008E3214" w:rsidP="00574D25">
      <w:pPr>
        <w:ind w:left="0" w:firstLine="0"/>
        <w:jc w:val="both"/>
        <w:rPr>
          <w:rFonts w:ascii="Palatino Linotype" w:hAnsi="Palatino Linotype"/>
          <w:b/>
          <w:i/>
          <w:sz w:val="24"/>
        </w:rPr>
      </w:pPr>
      <w:r w:rsidRPr="004A6098">
        <w:rPr>
          <w:rFonts w:ascii="Palatino Linotype" w:hAnsi="Palatino Linotype"/>
          <w:b/>
          <w:sz w:val="24"/>
        </w:rPr>
        <w:t xml:space="preserve">9. </w:t>
      </w:r>
      <w:r w:rsidRPr="004A6098">
        <w:rPr>
          <w:rFonts w:ascii="Palatino Linotype" w:hAnsi="Palatino Linotype"/>
          <w:b/>
          <w:i/>
          <w:sz w:val="24"/>
        </w:rPr>
        <w:t>“Eliminación del concurso forzoso.”</w:t>
      </w:r>
    </w:p>
    <w:p w:rsidR="008E3214" w:rsidRDefault="008E3214" w:rsidP="00574D25">
      <w:pPr>
        <w:ind w:left="0" w:firstLine="0"/>
        <w:jc w:val="both"/>
        <w:rPr>
          <w:rFonts w:ascii="Palatino Linotype" w:hAnsi="Palatino Linotype"/>
          <w:sz w:val="24"/>
        </w:rPr>
      </w:pPr>
      <w:r w:rsidRPr="004A6098">
        <w:rPr>
          <w:rFonts w:ascii="Palatino Linotype" w:hAnsi="Palatino Linotype"/>
          <w:sz w:val="24"/>
        </w:rPr>
        <w:t xml:space="preserve">Ya mostramos nuestra oposición a esta medida, contraria a las exigencias de conciliación. No obstante, no se suprime, sino que no se </w:t>
      </w:r>
      <w:r w:rsidR="0049712A" w:rsidRPr="004A6098">
        <w:rPr>
          <w:rFonts w:ascii="Palatino Linotype" w:hAnsi="Palatino Linotype"/>
          <w:sz w:val="24"/>
        </w:rPr>
        <w:t>proyecta implantarla</w:t>
      </w:r>
      <w:r w:rsidRPr="004A6098">
        <w:rPr>
          <w:rFonts w:ascii="Palatino Linotype" w:hAnsi="Palatino Linotype"/>
          <w:sz w:val="24"/>
        </w:rPr>
        <w:t xml:space="preserve">, por cuanto que no </w:t>
      </w:r>
      <w:r w:rsidR="00520AA4">
        <w:rPr>
          <w:rFonts w:ascii="Palatino Linotype" w:hAnsi="Palatino Linotype"/>
          <w:sz w:val="24"/>
        </w:rPr>
        <w:t>se</w:t>
      </w:r>
      <w:r w:rsidRPr="004A6098">
        <w:rPr>
          <w:rFonts w:ascii="Palatino Linotype" w:hAnsi="Palatino Linotype"/>
          <w:sz w:val="24"/>
        </w:rPr>
        <w:t xml:space="preserve"> contempla </w:t>
      </w:r>
      <w:r w:rsidR="00520AA4">
        <w:rPr>
          <w:rFonts w:ascii="Palatino Linotype" w:hAnsi="Palatino Linotype"/>
          <w:sz w:val="24"/>
        </w:rPr>
        <w:t xml:space="preserve">en </w:t>
      </w:r>
      <w:r w:rsidRPr="004A6098">
        <w:rPr>
          <w:rFonts w:ascii="Palatino Linotype" w:hAnsi="Palatino Linotype"/>
          <w:sz w:val="24"/>
        </w:rPr>
        <w:t>la regulación vigente.</w:t>
      </w:r>
    </w:p>
    <w:p w:rsidR="001A3910" w:rsidRPr="004A6098" w:rsidRDefault="001A3910" w:rsidP="00574D25">
      <w:pPr>
        <w:ind w:left="0" w:firstLine="0"/>
        <w:jc w:val="both"/>
        <w:rPr>
          <w:rFonts w:ascii="Palatino Linotype" w:hAnsi="Palatino Linotype"/>
          <w:sz w:val="24"/>
        </w:rPr>
      </w:pPr>
    </w:p>
    <w:p w:rsidR="008E3214" w:rsidRPr="004A6098" w:rsidRDefault="008E3214" w:rsidP="00574D25">
      <w:pPr>
        <w:ind w:left="0" w:firstLine="0"/>
        <w:jc w:val="both"/>
        <w:rPr>
          <w:rFonts w:ascii="Palatino Linotype" w:hAnsi="Palatino Linotype"/>
          <w:b/>
          <w:i/>
          <w:sz w:val="24"/>
        </w:rPr>
      </w:pPr>
      <w:r w:rsidRPr="004A6098">
        <w:rPr>
          <w:rFonts w:ascii="Palatino Linotype" w:hAnsi="Palatino Linotype"/>
          <w:b/>
          <w:sz w:val="24"/>
        </w:rPr>
        <w:t>10</w:t>
      </w:r>
      <w:r w:rsidRPr="004A6098">
        <w:rPr>
          <w:rFonts w:ascii="Palatino Linotype" w:hAnsi="Palatino Linotype"/>
          <w:sz w:val="24"/>
        </w:rPr>
        <w:t xml:space="preserve">. </w:t>
      </w:r>
      <w:r w:rsidRPr="004A6098">
        <w:rPr>
          <w:rFonts w:ascii="Palatino Linotype" w:hAnsi="Palatino Linotype"/>
          <w:b/>
          <w:i/>
          <w:sz w:val="24"/>
        </w:rPr>
        <w:t>“Refuerzo a la independencia de las asociaciones.”</w:t>
      </w:r>
    </w:p>
    <w:p w:rsidR="008E3214" w:rsidRPr="004A6098" w:rsidRDefault="008E3214" w:rsidP="00574D25">
      <w:pPr>
        <w:ind w:left="0" w:firstLine="0"/>
        <w:jc w:val="both"/>
        <w:rPr>
          <w:rFonts w:ascii="Palatino Linotype" w:hAnsi="Palatino Linotype"/>
          <w:sz w:val="24"/>
        </w:rPr>
      </w:pPr>
      <w:r w:rsidRPr="004A6098">
        <w:rPr>
          <w:rFonts w:ascii="Palatino Linotype" w:hAnsi="Palatino Linotype"/>
          <w:sz w:val="24"/>
        </w:rPr>
        <w:t>No se refuerza la independencia limitando las fuentes de financiación, sin contemplar incremento de las permitidas.</w:t>
      </w:r>
    </w:p>
    <w:p w:rsidR="008E3214" w:rsidRPr="004A6098" w:rsidRDefault="008E3214" w:rsidP="00574D25">
      <w:pPr>
        <w:ind w:left="0" w:firstLine="0"/>
        <w:jc w:val="both"/>
        <w:rPr>
          <w:rFonts w:ascii="Palatino Linotype" w:hAnsi="Palatino Linotype"/>
          <w:sz w:val="24"/>
        </w:rPr>
      </w:pPr>
      <w:r w:rsidRPr="004A6098">
        <w:rPr>
          <w:rFonts w:ascii="Palatino Linotype" w:hAnsi="Palatino Linotype"/>
          <w:sz w:val="24"/>
        </w:rPr>
        <w:t>El incremento de cuotas de asociados desincentiva la asociación. Y el incremento de subvenciones públicas no se prevé.</w:t>
      </w:r>
    </w:p>
    <w:p w:rsidR="008E3214" w:rsidRPr="004A6098" w:rsidRDefault="008E3214" w:rsidP="00574D25">
      <w:pPr>
        <w:ind w:left="0" w:firstLine="0"/>
        <w:jc w:val="both"/>
        <w:rPr>
          <w:rFonts w:ascii="Palatino Linotype" w:hAnsi="Palatino Linotype"/>
          <w:sz w:val="24"/>
        </w:rPr>
      </w:pPr>
      <w:r w:rsidRPr="004A6098">
        <w:rPr>
          <w:rFonts w:ascii="Palatino Linotype" w:hAnsi="Palatino Linotype"/>
          <w:sz w:val="24"/>
        </w:rPr>
        <w:t xml:space="preserve">La independencia judicial reside en los jueces y magistrados, no en sus asociaciones, cuyos fines son la defensa de los intereses profesionales y los valores constitucionales. </w:t>
      </w:r>
    </w:p>
    <w:p w:rsidR="008E3214" w:rsidRPr="004A6098" w:rsidRDefault="00665C6F" w:rsidP="00665C6F">
      <w:pPr>
        <w:pStyle w:val="Default"/>
        <w:jc w:val="both"/>
        <w:rPr>
          <w:rFonts w:ascii="Palatino Linotype" w:eastAsia="Times New Roman" w:hAnsi="Palatino Linotype" w:cs="Times New Roman"/>
          <w:kern w:val="2"/>
          <w:lang w:val="es-ES" w:eastAsia="ja-JP"/>
          <w14:ligatures w14:val="standardContextual"/>
        </w:rPr>
      </w:pPr>
      <w:r w:rsidRPr="004A6098">
        <w:rPr>
          <w:rFonts w:ascii="Palatino Linotype" w:eastAsia="Times New Roman" w:hAnsi="Palatino Linotype" w:cs="Times New Roman"/>
          <w:kern w:val="2"/>
          <w:lang w:val="es-ES" w:eastAsia="ja-JP"/>
          <w14:ligatures w14:val="standardContextual"/>
        </w:rPr>
        <w:lastRenderedPageBreak/>
        <w:t xml:space="preserve">Imponer </w:t>
      </w:r>
      <w:r w:rsidR="008E3214" w:rsidRPr="004A6098">
        <w:rPr>
          <w:rFonts w:ascii="Palatino Linotype" w:eastAsia="Times New Roman" w:hAnsi="Palatino Linotype" w:cs="Times New Roman"/>
          <w:kern w:val="2"/>
          <w:lang w:val="es-ES" w:eastAsia="ja-JP"/>
          <w14:ligatures w14:val="standardContextual"/>
        </w:rPr>
        <w:t>restricciones a la financiación de las asociaciones judiciales</w:t>
      </w:r>
      <w:r w:rsidRPr="004A6098">
        <w:rPr>
          <w:rFonts w:ascii="Palatino Linotype" w:eastAsia="Times New Roman" w:hAnsi="Palatino Linotype" w:cs="Times New Roman"/>
          <w:kern w:val="2"/>
          <w:lang w:val="es-ES" w:eastAsia="ja-JP"/>
          <w14:ligatures w14:val="standardContextual"/>
        </w:rPr>
        <w:t xml:space="preserve"> no es garantía de independencia</w:t>
      </w:r>
      <w:r w:rsidR="008E3214" w:rsidRPr="004A6098">
        <w:rPr>
          <w:rFonts w:ascii="Palatino Linotype" w:eastAsia="Times New Roman" w:hAnsi="Palatino Linotype" w:cs="Times New Roman"/>
          <w:kern w:val="2"/>
          <w:lang w:val="es-ES" w:eastAsia="ja-JP"/>
          <w14:ligatures w14:val="standardContextual"/>
        </w:rPr>
        <w:t xml:space="preserve">, </w:t>
      </w:r>
      <w:r w:rsidRPr="004A6098">
        <w:rPr>
          <w:rFonts w:ascii="Palatino Linotype" w:eastAsia="Times New Roman" w:hAnsi="Palatino Linotype" w:cs="Times New Roman"/>
          <w:kern w:val="2"/>
          <w:lang w:val="es-ES" w:eastAsia="ja-JP"/>
          <w14:ligatures w14:val="standardContextual"/>
        </w:rPr>
        <w:t>sino una clara limitación de su</w:t>
      </w:r>
      <w:r w:rsidR="008E3214" w:rsidRPr="004A6098">
        <w:rPr>
          <w:rFonts w:ascii="Palatino Linotype" w:eastAsia="Times New Roman" w:hAnsi="Palatino Linotype" w:cs="Times New Roman"/>
          <w:kern w:val="2"/>
          <w:lang w:val="es-ES" w:eastAsia="ja-JP"/>
          <w14:ligatures w14:val="standardContextual"/>
        </w:rPr>
        <w:t xml:space="preserve"> capacidad operativa. </w:t>
      </w:r>
      <w:r w:rsidRPr="004A6098">
        <w:rPr>
          <w:rFonts w:ascii="Palatino Linotype" w:eastAsia="Times New Roman" w:hAnsi="Palatino Linotype" w:cs="Times New Roman"/>
          <w:kern w:val="2"/>
          <w:lang w:val="es-ES" w:eastAsia="ja-JP"/>
          <w14:ligatures w14:val="standardContextual"/>
        </w:rPr>
        <w:t xml:space="preserve">Esta medida afecta </w:t>
      </w:r>
      <w:r w:rsidR="008E3214" w:rsidRPr="004A6098">
        <w:rPr>
          <w:rFonts w:ascii="Palatino Linotype" w:eastAsia="Times New Roman" w:hAnsi="Palatino Linotype" w:cs="Times New Roman"/>
          <w:kern w:val="2"/>
          <w:lang w:val="es-ES" w:eastAsia="ja-JP"/>
          <w14:ligatures w14:val="standardContextual"/>
        </w:rPr>
        <w:t>la pluralidad y la libertad de expresión dentro de la carrera judicial, cuyos miembros tienen prohibida por la Constitución el acceso a mecanismos de sindicación</w:t>
      </w:r>
      <w:r w:rsidRPr="004A6098">
        <w:rPr>
          <w:rFonts w:ascii="Palatino Linotype" w:eastAsia="Times New Roman" w:hAnsi="Palatino Linotype" w:cs="Times New Roman"/>
          <w:kern w:val="2"/>
          <w:lang w:val="es-ES" w:eastAsia="ja-JP"/>
          <w14:ligatures w14:val="standardContextual"/>
        </w:rPr>
        <w:t>, con todo lo que ello supone. Así, carecemos de derecho similar a la liberación sindical, lo que supone afrontar nuestra actuación como una sobrecarga a nuestra sobresaturada actividad profesional, sin más retribución que la vocación de defender nuestros derechos profesionales y velar por los valores constitucionales, especialmente el Estado de Derecho y la independencia judicial.</w:t>
      </w:r>
    </w:p>
    <w:p w:rsidR="00665C6F" w:rsidRPr="004A6098" w:rsidRDefault="00665C6F" w:rsidP="00665C6F">
      <w:pPr>
        <w:pStyle w:val="Default"/>
        <w:jc w:val="both"/>
        <w:rPr>
          <w:rFonts w:ascii="Palatino Linotype" w:eastAsia="Times New Roman" w:hAnsi="Palatino Linotype" w:cs="Times New Roman"/>
          <w:kern w:val="2"/>
          <w:lang w:val="es-ES" w:eastAsia="ja-JP"/>
          <w14:ligatures w14:val="standardContextual"/>
        </w:rPr>
      </w:pPr>
    </w:p>
    <w:p w:rsidR="00665C6F" w:rsidRDefault="00665C6F" w:rsidP="00665C6F">
      <w:pPr>
        <w:pStyle w:val="Default"/>
        <w:jc w:val="both"/>
        <w:rPr>
          <w:rFonts w:ascii="Palatino Linotype" w:eastAsia="Times New Roman" w:hAnsi="Palatino Linotype" w:cs="Times New Roman"/>
          <w:kern w:val="2"/>
          <w:lang w:val="es-ES" w:eastAsia="ja-JP"/>
          <w14:ligatures w14:val="standardContextual"/>
        </w:rPr>
      </w:pPr>
      <w:r w:rsidRPr="004A6098">
        <w:rPr>
          <w:rFonts w:ascii="Palatino Linotype" w:eastAsia="Times New Roman" w:hAnsi="Palatino Linotype" w:cs="Times New Roman"/>
          <w:kern w:val="2"/>
          <w:lang w:val="es-ES" w:eastAsia="ja-JP"/>
          <w14:ligatures w14:val="standardContextual"/>
        </w:rPr>
        <w:t>Es evidente que la intención declarada de salvaguardar la independencia esconde el objetivo contrario: limitar nuestra actuación.</w:t>
      </w:r>
    </w:p>
    <w:p w:rsidR="001A3910" w:rsidRPr="004A6098" w:rsidRDefault="001A3910" w:rsidP="00665C6F">
      <w:pPr>
        <w:pStyle w:val="Default"/>
        <w:jc w:val="both"/>
        <w:rPr>
          <w:rFonts w:ascii="Palatino Linotype" w:eastAsia="Times New Roman" w:hAnsi="Palatino Linotype" w:cs="Times New Roman"/>
          <w:kern w:val="2"/>
          <w:lang w:val="es-ES" w:eastAsia="ja-JP"/>
          <w14:ligatures w14:val="standardContextual"/>
        </w:rPr>
      </w:pPr>
    </w:p>
    <w:p w:rsidR="00665C6F" w:rsidRPr="004A6098" w:rsidRDefault="00665C6F" w:rsidP="00665C6F">
      <w:pPr>
        <w:pStyle w:val="Default"/>
        <w:jc w:val="both"/>
        <w:rPr>
          <w:rFonts w:ascii="Palatino Linotype" w:eastAsia="Times New Roman" w:hAnsi="Palatino Linotype" w:cs="Times New Roman"/>
          <w:kern w:val="2"/>
          <w:lang w:val="es-ES" w:eastAsia="ja-JP"/>
          <w14:ligatures w14:val="standardContextual"/>
        </w:rPr>
      </w:pPr>
    </w:p>
    <w:p w:rsidR="00665C6F" w:rsidRPr="004A6098" w:rsidRDefault="00665C6F" w:rsidP="00665C6F">
      <w:pPr>
        <w:pStyle w:val="Default"/>
        <w:jc w:val="both"/>
        <w:rPr>
          <w:rFonts w:ascii="Palatino Linotype" w:eastAsia="Times New Roman" w:hAnsi="Palatino Linotype" w:cs="Times New Roman"/>
          <w:b/>
          <w:kern w:val="2"/>
          <w:lang w:val="es-ES" w:eastAsia="ja-JP"/>
          <w14:ligatures w14:val="standardContextual"/>
        </w:rPr>
      </w:pPr>
      <w:r w:rsidRPr="004A6098">
        <w:rPr>
          <w:rFonts w:ascii="Palatino Linotype" w:eastAsia="Times New Roman" w:hAnsi="Palatino Linotype" w:cs="Times New Roman"/>
          <w:b/>
          <w:kern w:val="2"/>
          <w:lang w:val="es-ES" w:eastAsia="ja-JP"/>
          <w14:ligatures w14:val="standardContextual"/>
        </w:rPr>
        <w:t>11.</w:t>
      </w:r>
      <w:r w:rsidRPr="004A6098">
        <w:rPr>
          <w:rFonts w:ascii="Palatino Linotype" w:eastAsia="Times New Roman" w:hAnsi="Palatino Linotype" w:cs="Times New Roman"/>
          <w:b/>
          <w:i/>
          <w:kern w:val="2"/>
          <w:lang w:val="es-ES" w:eastAsia="ja-JP"/>
          <w14:ligatures w14:val="standardContextual"/>
        </w:rPr>
        <w:t xml:space="preserve"> </w:t>
      </w:r>
      <w:r w:rsidRPr="004A6098">
        <w:rPr>
          <w:rFonts w:ascii="Palatino Linotype" w:eastAsia="Times New Roman" w:hAnsi="Palatino Linotype" w:cs="Times New Roman"/>
          <w:b/>
          <w:kern w:val="2"/>
          <w:lang w:val="es-ES" w:eastAsia="ja-JP"/>
          <w14:ligatures w14:val="standardContextual"/>
        </w:rPr>
        <w:t>Retroceso democrático en la elección de órganos de gobierno.</w:t>
      </w:r>
    </w:p>
    <w:p w:rsidR="001A3910" w:rsidRDefault="001A3910" w:rsidP="00574D25">
      <w:pPr>
        <w:ind w:left="0" w:firstLine="0"/>
        <w:jc w:val="both"/>
        <w:rPr>
          <w:rFonts w:ascii="Palatino Linotype" w:hAnsi="Palatino Linotype"/>
          <w:sz w:val="24"/>
        </w:rPr>
      </w:pPr>
    </w:p>
    <w:p w:rsidR="00665C6F" w:rsidRPr="004A6098" w:rsidRDefault="00665C6F" w:rsidP="00574D25">
      <w:pPr>
        <w:ind w:left="0" w:firstLine="0"/>
        <w:jc w:val="both"/>
        <w:rPr>
          <w:rFonts w:ascii="Palatino Linotype" w:hAnsi="Palatino Linotype"/>
          <w:sz w:val="24"/>
        </w:rPr>
      </w:pPr>
      <w:r w:rsidRPr="004A6098">
        <w:rPr>
          <w:rFonts w:ascii="Palatino Linotype" w:hAnsi="Palatino Linotype"/>
          <w:sz w:val="24"/>
        </w:rPr>
        <w:t xml:space="preserve">Aun conscientes de la extensión de </w:t>
      </w:r>
      <w:r w:rsidR="00AB0BED" w:rsidRPr="004A6098">
        <w:rPr>
          <w:rFonts w:ascii="Palatino Linotype" w:hAnsi="Palatino Linotype"/>
          <w:sz w:val="24"/>
        </w:rPr>
        <w:t>la</w:t>
      </w:r>
      <w:r w:rsidRPr="004A6098">
        <w:rPr>
          <w:rFonts w:ascii="Palatino Linotype" w:hAnsi="Palatino Linotype"/>
          <w:sz w:val="24"/>
        </w:rPr>
        <w:t xml:space="preserve"> respuesta</w:t>
      </w:r>
      <w:r w:rsidR="00AB0BED" w:rsidRPr="004A6098">
        <w:rPr>
          <w:rFonts w:ascii="Palatino Linotype" w:hAnsi="Palatino Linotype"/>
          <w:sz w:val="24"/>
        </w:rPr>
        <w:t xml:space="preserve"> a la comunicación recibida, no podemos dejar de referir esta cuestión. Este Gobierno y los que le han precedido coinciden en mantener un sistema de elección de vocales del CGPJ que se ha demostrado contrario a las recomendaciones contenidas en la STC nº 108/1986, y se mantiene pese a </w:t>
      </w:r>
      <w:r w:rsidR="0049712A" w:rsidRPr="004A6098">
        <w:rPr>
          <w:rFonts w:ascii="Palatino Linotype" w:hAnsi="Palatino Linotype"/>
          <w:sz w:val="24"/>
        </w:rPr>
        <w:t>que</w:t>
      </w:r>
      <w:r w:rsidR="00E03846" w:rsidRPr="004A6098">
        <w:rPr>
          <w:rFonts w:ascii="Palatino Linotype" w:hAnsi="Palatino Linotype"/>
          <w:sz w:val="24"/>
        </w:rPr>
        <w:t xml:space="preserve"> la elección de</w:t>
      </w:r>
      <w:r w:rsidR="0049712A" w:rsidRPr="004A6098">
        <w:rPr>
          <w:rFonts w:ascii="Palatino Linotype" w:hAnsi="Palatino Linotype"/>
          <w:sz w:val="24"/>
        </w:rPr>
        <w:t>,</w:t>
      </w:r>
      <w:r w:rsidR="00E03846" w:rsidRPr="004A6098">
        <w:rPr>
          <w:rFonts w:ascii="Palatino Linotype" w:hAnsi="Palatino Linotype"/>
          <w:sz w:val="24"/>
        </w:rPr>
        <w:t xml:space="preserve"> al menos</w:t>
      </w:r>
      <w:r w:rsidR="0049712A" w:rsidRPr="004A6098">
        <w:rPr>
          <w:rFonts w:ascii="Palatino Linotype" w:hAnsi="Palatino Linotype"/>
          <w:sz w:val="24"/>
        </w:rPr>
        <w:t>,</w:t>
      </w:r>
      <w:r w:rsidR="00E03846" w:rsidRPr="004A6098">
        <w:rPr>
          <w:rFonts w:ascii="Palatino Linotype" w:hAnsi="Palatino Linotype"/>
          <w:sz w:val="24"/>
        </w:rPr>
        <w:t xml:space="preserve"> los vocales judiciales deben </w:t>
      </w:r>
      <w:r w:rsidR="004A6098" w:rsidRPr="004A6098">
        <w:rPr>
          <w:rFonts w:ascii="Palatino Linotype" w:hAnsi="Palatino Linotype"/>
          <w:sz w:val="24"/>
        </w:rPr>
        <w:t>realizarse</w:t>
      </w:r>
      <w:r w:rsidR="00E03846" w:rsidRPr="004A6098">
        <w:rPr>
          <w:rFonts w:ascii="Palatino Linotype" w:hAnsi="Palatino Linotype"/>
          <w:sz w:val="24"/>
        </w:rPr>
        <w:t xml:space="preserve"> por los integrantes de la carrera judicial, como exigen los estándares europeos.</w:t>
      </w:r>
    </w:p>
    <w:p w:rsidR="00E03846" w:rsidRPr="004A6098" w:rsidRDefault="00E03846" w:rsidP="00574D25">
      <w:pPr>
        <w:ind w:left="0" w:firstLine="0"/>
        <w:jc w:val="both"/>
        <w:rPr>
          <w:rFonts w:ascii="Palatino Linotype" w:hAnsi="Palatino Linotype"/>
          <w:sz w:val="24"/>
        </w:rPr>
      </w:pPr>
      <w:r w:rsidRPr="004A6098">
        <w:rPr>
          <w:rFonts w:ascii="Palatino Linotype" w:hAnsi="Palatino Linotype"/>
          <w:sz w:val="24"/>
        </w:rPr>
        <w:t xml:space="preserve">No parece suficiente esta anomalía que afecta a la independencia judicial, puesto que se proyecta restringir </w:t>
      </w:r>
      <w:r w:rsidR="00860AE9" w:rsidRPr="004A6098">
        <w:rPr>
          <w:rFonts w:ascii="Palatino Linotype" w:hAnsi="Palatino Linotype"/>
          <w:sz w:val="24"/>
        </w:rPr>
        <w:t xml:space="preserve">aún </w:t>
      </w:r>
      <w:r w:rsidR="00B70DCD">
        <w:rPr>
          <w:rFonts w:ascii="Palatino Linotype" w:hAnsi="Palatino Linotype"/>
          <w:sz w:val="24"/>
        </w:rPr>
        <w:t xml:space="preserve">más </w:t>
      </w:r>
      <w:r w:rsidRPr="004A6098">
        <w:rPr>
          <w:rFonts w:ascii="Palatino Linotype" w:hAnsi="Palatino Linotype"/>
          <w:sz w:val="24"/>
        </w:rPr>
        <w:t>la representación</w:t>
      </w:r>
      <w:r w:rsidR="00860AE9" w:rsidRPr="004A6098">
        <w:rPr>
          <w:rFonts w:ascii="Palatino Linotype" w:hAnsi="Palatino Linotype"/>
          <w:sz w:val="24"/>
        </w:rPr>
        <w:t xml:space="preserve"> de la carrera en sus órganos de gobierno</w:t>
      </w:r>
      <w:r w:rsidR="004A6098" w:rsidRPr="004A6098">
        <w:rPr>
          <w:rFonts w:ascii="Palatino Linotype" w:hAnsi="Palatino Linotype"/>
          <w:sz w:val="24"/>
        </w:rPr>
        <w:t xml:space="preserve"> interno</w:t>
      </w:r>
      <w:r w:rsidR="00860AE9" w:rsidRPr="004A6098">
        <w:rPr>
          <w:rFonts w:ascii="Palatino Linotype" w:hAnsi="Palatino Linotype"/>
          <w:sz w:val="24"/>
        </w:rPr>
        <w:t>. Así, en la elección de miembros a Sala de Gobierno de TSJ</w:t>
      </w:r>
      <w:r w:rsidRPr="004A6098">
        <w:rPr>
          <w:rFonts w:ascii="Palatino Linotype" w:hAnsi="Palatino Linotype"/>
          <w:sz w:val="24"/>
        </w:rPr>
        <w:t>, ya limitada a miembros electos</w:t>
      </w:r>
      <w:r w:rsidR="004A6098" w:rsidRPr="004A6098">
        <w:rPr>
          <w:rFonts w:ascii="Palatino Linotype" w:hAnsi="Palatino Linotype"/>
          <w:sz w:val="24"/>
        </w:rPr>
        <w:t>, puesto que los natos son cargos de designación discrecional</w:t>
      </w:r>
      <w:r w:rsidRPr="004A6098">
        <w:rPr>
          <w:rFonts w:ascii="Palatino Linotype" w:hAnsi="Palatino Linotype"/>
          <w:sz w:val="24"/>
        </w:rPr>
        <w:t>, se prohíben las candidaturas conjuntas y se establece que los electores podrán votar a un solo candidato. Es tan obvio el objetivo que solo podemos sugerir que este sistema, que según la Exposición de Motivos del Proyecto persigue que el resultado del proceso de elección “</w:t>
      </w:r>
      <w:r w:rsidRPr="004A6098">
        <w:rPr>
          <w:rFonts w:ascii="Palatino Linotype" w:hAnsi="Palatino Linotype"/>
          <w:i/>
          <w:sz w:val="24"/>
        </w:rPr>
        <w:t>se acomode más fielmente a la voluntad de los electores</w:t>
      </w:r>
      <w:r w:rsidRPr="004A6098">
        <w:rPr>
          <w:rFonts w:ascii="Palatino Linotype" w:hAnsi="Palatino Linotype"/>
          <w:sz w:val="24"/>
        </w:rPr>
        <w:t>”, se impulse mediante la tan necesaria reforma de la LOREG para las elecciones al Congreso y al Senado</w:t>
      </w:r>
      <w:r w:rsidR="00B70DCD">
        <w:rPr>
          <w:rFonts w:ascii="Palatino Linotype" w:hAnsi="Palatino Linotype"/>
          <w:sz w:val="24"/>
        </w:rPr>
        <w:t>, que con listas cerradas parece que ofrece un resultado fiel a la voluntad de los electores</w:t>
      </w:r>
      <w:r w:rsidRPr="004A6098">
        <w:rPr>
          <w:rFonts w:ascii="Palatino Linotype" w:hAnsi="Palatino Linotype"/>
          <w:sz w:val="24"/>
        </w:rPr>
        <w:t>.</w:t>
      </w:r>
    </w:p>
    <w:p w:rsidR="004A6098" w:rsidRPr="004A6098" w:rsidRDefault="004A6098" w:rsidP="004A6098">
      <w:pPr>
        <w:pStyle w:val="Default"/>
        <w:rPr>
          <w:rFonts w:ascii="Palatino Linotype" w:hAnsi="Palatino Linotype"/>
          <w:lang w:val="es-ES"/>
        </w:rPr>
      </w:pPr>
    </w:p>
    <w:p w:rsidR="004A6098" w:rsidRDefault="004A6098" w:rsidP="004A6098">
      <w:pPr>
        <w:pStyle w:val="Default"/>
        <w:jc w:val="both"/>
        <w:rPr>
          <w:rFonts w:ascii="Palatino Linotype" w:hAnsi="Palatino Linotype"/>
          <w:lang w:val="es-ES"/>
        </w:rPr>
      </w:pPr>
      <w:r w:rsidRPr="004A6098">
        <w:rPr>
          <w:rFonts w:ascii="Palatino Linotype" w:hAnsi="Palatino Linotype"/>
          <w:lang w:val="es-ES"/>
        </w:rPr>
        <w:t xml:space="preserve">Como manifestamos 5 de las 7 asociaciones profesionales de juezas, jueces y fiscales en comunicado conjunto el pasado de 14 de mayo, la regulación proyectada </w:t>
      </w:r>
      <w:r w:rsidR="00CD65F1">
        <w:rPr>
          <w:rFonts w:ascii="Palatino Linotype" w:hAnsi="Palatino Linotype"/>
          <w:lang w:val="es-ES"/>
        </w:rPr>
        <w:t>“</w:t>
      </w:r>
      <w:r w:rsidRPr="001A3910">
        <w:rPr>
          <w:rFonts w:ascii="Palatino Linotype" w:hAnsi="Palatino Linotype"/>
          <w:i/>
          <w:lang w:val="es-ES"/>
        </w:rPr>
        <w:t xml:space="preserve">supone una reforma estructural, de gran calado, que afecta gravemente a principios constitucionales, como la igualdad, el mérito y la capacidad en el acceso a las </w:t>
      </w:r>
      <w:r w:rsidRPr="001A3910">
        <w:rPr>
          <w:rFonts w:ascii="Palatino Linotype" w:hAnsi="Palatino Linotype"/>
          <w:i/>
          <w:lang w:val="es-ES"/>
        </w:rPr>
        <w:lastRenderedPageBreak/>
        <w:t>carreras judicial y fiscal, así como al propio Estado de Derecho, la separación de poderes y, especialmente, a la independencia judicial.</w:t>
      </w:r>
      <w:r w:rsidRPr="004A6098">
        <w:rPr>
          <w:rFonts w:ascii="Palatino Linotype" w:hAnsi="Palatino Linotype"/>
          <w:lang w:val="es-ES"/>
        </w:rPr>
        <w:t xml:space="preserve"> </w:t>
      </w:r>
      <w:r w:rsidR="00CD65F1">
        <w:rPr>
          <w:rFonts w:ascii="Palatino Linotype" w:hAnsi="Palatino Linotype"/>
          <w:lang w:val="es-ES"/>
        </w:rPr>
        <w:t>“</w:t>
      </w:r>
    </w:p>
    <w:p w:rsidR="00CD65F1" w:rsidRDefault="00CD65F1" w:rsidP="004A6098">
      <w:pPr>
        <w:pStyle w:val="Default"/>
        <w:jc w:val="both"/>
        <w:rPr>
          <w:rFonts w:ascii="Palatino Linotype" w:hAnsi="Palatino Linotype"/>
          <w:lang w:val="es-ES"/>
        </w:rPr>
      </w:pPr>
    </w:p>
    <w:p w:rsidR="00CD65F1" w:rsidRDefault="00CD65F1" w:rsidP="004A6098">
      <w:pPr>
        <w:pStyle w:val="Default"/>
        <w:jc w:val="both"/>
        <w:rPr>
          <w:rFonts w:ascii="Palatino Linotype" w:hAnsi="Palatino Linotype"/>
          <w:lang w:val="es-ES"/>
        </w:rPr>
      </w:pPr>
      <w:r>
        <w:rPr>
          <w:rFonts w:ascii="Palatino Linotype" w:hAnsi="Palatino Linotype"/>
          <w:lang w:val="es-ES"/>
        </w:rPr>
        <w:t>Salvo aspectos puntuales el Proyecto mantiene la regulación contenida en el Anteproyecto que le precede, por lo que entendemos que las alegaciones que realizamos no se han tenido en consideración.</w:t>
      </w:r>
    </w:p>
    <w:p w:rsidR="00CD65F1" w:rsidRDefault="00CD65F1" w:rsidP="004A6098">
      <w:pPr>
        <w:pStyle w:val="Default"/>
        <w:jc w:val="both"/>
        <w:rPr>
          <w:rFonts w:ascii="Palatino Linotype" w:hAnsi="Palatino Linotype"/>
          <w:lang w:val="es-ES"/>
        </w:rPr>
      </w:pPr>
    </w:p>
    <w:p w:rsidR="004A6098" w:rsidRDefault="00CD65F1" w:rsidP="00CD65F1">
      <w:pPr>
        <w:pStyle w:val="Default"/>
        <w:jc w:val="both"/>
        <w:rPr>
          <w:rFonts w:ascii="Palatino Linotype" w:hAnsi="Palatino Linotype"/>
          <w:lang w:val="es-ES"/>
        </w:rPr>
      </w:pPr>
      <w:r>
        <w:rPr>
          <w:rFonts w:ascii="Palatino Linotype" w:hAnsi="Palatino Linotype"/>
          <w:lang w:val="es-ES"/>
        </w:rPr>
        <w:t xml:space="preserve">De la presente cabe deducir, en líneas generales, las medidas que merecen nuestro frontal rechazo y las que consideramos susceptibles de mejora en el sentido que apuntamos. </w:t>
      </w:r>
    </w:p>
    <w:p w:rsidR="00CD65F1" w:rsidRDefault="00CD65F1" w:rsidP="00CD65F1">
      <w:pPr>
        <w:pStyle w:val="Default"/>
        <w:jc w:val="both"/>
        <w:rPr>
          <w:rFonts w:ascii="Palatino Linotype" w:hAnsi="Palatino Linotype"/>
          <w:lang w:val="es-ES"/>
        </w:rPr>
      </w:pPr>
    </w:p>
    <w:p w:rsidR="00A75DD5" w:rsidRDefault="00CD65F1" w:rsidP="00CD65F1">
      <w:pPr>
        <w:pStyle w:val="Default"/>
        <w:jc w:val="both"/>
        <w:rPr>
          <w:rFonts w:ascii="Palatino Linotype" w:hAnsi="Palatino Linotype"/>
          <w:lang w:val="es-ES"/>
        </w:rPr>
      </w:pPr>
      <w:r>
        <w:rPr>
          <w:rFonts w:ascii="Palatino Linotype" w:hAnsi="Palatino Linotype"/>
          <w:lang w:val="es-ES"/>
        </w:rPr>
        <w:t>Quedamos a disposición para cualquier colaboración o diálogo que permita encontrar posiciones</w:t>
      </w:r>
      <w:r w:rsidR="00A75DD5">
        <w:rPr>
          <w:rFonts w:ascii="Palatino Linotype" w:hAnsi="Palatino Linotype"/>
          <w:lang w:val="es-ES"/>
        </w:rPr>
        <w:t>,</w:t>
      </w:r>
      <w:r w:rsidRPr="00CD65F1">
        <w:rPr>
          <w:rFonts w:ascii="Palatino Linotype" w:hAnsi="Palatino Linotype"/>
          <w:lang w:val="es-ES"/>
        </w:rPr>
        <w:t xml:space="preserve"> </w:t>
      </w:r>
      <w:r>
        <w:rPr>
          <w:rFonts w:ascii="Palatino Linotype" w:hAnsi="Palatino Linotype"/>
          <w:lang w:val="es-ES"/>
        </w:rPr>
        <w:t xml:space="preserve">en aras a lograr </w:t>
      </w:r>
      <w:r w:rsidR="00A75DD5">
        <w:rPr>
          <w:rFonts w:ascii="Palatino Linotype" w:hAnsi="Palatino Linotype"/>
          <w:lang w:val="es-ES"/>
        </w:rPr>
        <w:t xml:space="preserve">un </w:t>
      </w:r>
      <w:r>
        <w:rPr>
          <w:rFonts w:ascii="Palatino Linotype" w:hAnsi="Palatino Linotype"/>
          <w:lang w:val="es-ES"/>
        </w:rPr>
        <w:t>verdadero fortalecimiento de las carreras judicial y fiscal</w:t>
      </w:r>
      <w:r w:rsidR="00A75DD5">
        <w:rPr>
          <w:rFonts w:ascii="Palatino Linotype" w:hAnsi="Palatino Linotype"/>
          <w:lang w:val="es-ES"/>
        </w:rPr>
        <w:t xml:space="preserve"> e incrementar la calidad del Se</w:t>
      </w:r>
      <w:r w:rsidR="00A2468F">
        <w:rPr>
          <w:rFonts w:ascii="Palatino Linotype" w:hAnsi="Palatino Linotype"/>
          <w:lang w:val="es-ES"/>
        </w:rPr>
        <w:t>rvicio</w:t>
      </w:r>
      <w:r w:rsidR="00A75DD5">
        <w:rPr>
          <w:rFonts w:ascii="Palatino Linotype" w:hAnsi="Palatino Linotype"/>
          <w:lang w:val="es-ES"/>
        </w:rPr>
        <w:t xml:space="preserve"> Público de Justicia. No solo con ocasión del Proyecto analizado, sino también con la implantación de leyes ya publicadas y/o vigentes y la elaboración de normas futuras. </w:t>
      </w:r>
    </w:p>
    <w:p w:rsidR="00A75DD5" w:rsidRDefault="00A75DD5" w:rsidP="00CD65F1">
      <w:pPr>
        <w:pStyle w:val="Default"/>
        <w:jc w:val="both"/>
        <w:rPr>
          <w:rFonts w:ascii="Palatino Linotype" w:hAnsi="Palatino Linotype"/>
          <w:lang w:val="es-ES"/>
        </w:rPr>
      </w:pPr>
    </w:p>
    <w:p w:rsidR="00CD65F1" w:rsidRDefault="00A75DD5" w:rsidP="00CD65F1">
      <w:pPr>
        <w:pStyle w:val="Default"/>
        <w:jc w:val="both"/>
        <w:rPr>
          <w:rFonts w:ascii="Palatino Linotype" w:hAnsi="Palatino Linotype"/>
          <w:lang w:val="es-ES"/>
        </w:rPr>
      </w:pPr>
      <w:r>
        <w:rPr>
          <w:rFonts w:ascii="Palatino Linotype" w:hAnsi="Palatino Linotype"/>
          <w:lang w:val="es-ES"/>
        </w:rPr>
        <w:t>Todo ello desde e</w:t>
      </w:r>
      <w:r w:rsidR="00CD65F1">
        <w:rPr>
          <w:rFonts w:ascii="Palatino Linotype" w:hAnsi="Palatino Linotype"/>
          <w:lang w:val="es-ES"/>
        </w:rPr>
        <w:t>l respeto a los principios constitucionales y, muy especialmente</w:t>
      </w:r>
      <w:r>
        <w:rPr>
          <w:rFonts w:ascii="Palatino Linotype" w:hAnsi="Palatino Linotype"/>
          <w:lang w:val="es-ES"/>
        </w:rPr>
        <w:t>,</w:t>
      </w:r>
      <w:r w:rsidR="00CD65F1">
        <w:rPr>
          <w:rFonts w:ascii="Palatino Linotype" w:hAnsi="Palatino Linotype"/>
          <w:lang w:val="es-ES"/>
        </w:rPr>
        <w:t xml:space="preserve"> </w:t>
      </w:r>
      <w:r>
        <w:rPr>
          <w:rFonts w:ascii="Palatino Linotype" w:hAnsi="Palatino Linotype"/>
          <w:lang w:val="es-ES"/>
        </w:rPr>
        <w:t>al Estado de Derecho y la independencia judicial, que son garantía del sistema y de los derechos de los ciudadanos.</w:t>
      </w:r>
    </w:p>
    <w:p w:rsidR="00A2468F" w:rsidRDefault="00A2468F" w:rsidP="00CD65F1">
      <w:pPr>
        <w:pStyle w:val="Default"/>
        <w:jc w:val="both"/>
        <w:rPr>
          <w:rFonts w:ascii="Palatino Linotype" w:hAnsi="Palatino Linotype"/>
          <w:lang w:val="es-ES"/>
        </w:rPr>
      </w:pPr>
      <w:bookmarkStart w:id="0" w:name="_GoBack"/>
      <w:bookmarkEnd w:id="0"/>
    </w:p>
    <w:p w:rsidR="00A75DD5" w:rsidRDefault="00A75DD5" w:rsidP="00CD65F1">
      <w:pPr>
        <w:pStyle w:val="Default"/>
        <w:jc w:val="both"/>
        <w:rPr>
          <w:rFonts w:ascii="Palatino Linotype" w:hAnsi="Palatino Linotype"/>
          <w:lang w:val="es-ES"/>
        </w:rPr>
      </w:pPr>
    </w:p>
    <w:p w:rsidR="00A75DD5" w:rsidRDefault="00A75DD5" w:rsidP="00CD65F1">
      <w:pPr>
        <w:pStyle w:val="Default"/>
        <w:jc w:val="both"/>
        <w:rPr>
          <w:rFonts w:ascii="Palatino Linotype" w:hAnsi="Palatino Linotype"/>
          <w:lang w:val="es-ES"/>
        </w:rPr>
      </w:pPr>
      <w:r>
        <w:rPr>
          <w:rFonts w:ascii="Palatino Linotype" w:hAnsi="Palatino Linotype"/>
          <w:lang w:val="es-ES"/>
        </w:rPr>
        <w:t>Atentamente,</w:t>
      </w:r>
    </w:p>
    <w:p w:rsidR="001A3910" w:rsidRDefault="001A3910" w:rsidP="00CD65F1">
      <w:pPr>
        <w:pStyle w:val="Default"/>
        <w:jc w:val="both"/>
        <w:rPr>
          <w:rFonts w:ascii="Palatino Linotype" w:hAnsi="Palatino Linotype"/>
          <w:lang w:val="es-ES"/>
        </w:rPr>
      </w:pPr>
    </w:p>
    <w:p w:rsidR="00A75DD5" w:rsidRDefault="00A75DD5" w:rsidP="00CD65F1">
      <w:pPr>
        <w:pStyle w:val="Default"/>
        <w:jc w:val="both"/>
        <w:rPr>
          <w:rFonts w:ascii="Palatino Linotype" w:hAnsi="Palatino Linotype"/>
          <w:lang w:val="es-ES"/>
        </w:rPr>
      </w:pPr>
    </w:p>
    <w:p w:rsidR="001A3910" w:rsidRDefault="001A3910" w:rsidP="001A3910">
      <w:pPr>
        <w:ind w:left="-5"/>
        <w:jc w:val="right"/>
        <w:rPr>
          <w:rFonts w:ascii="Palatino Linotype" w:eastAsiaTheme="minorHAnsi" w:hAnsi="Palatino Linotype" w:cs="Aptos"/>
          <w:kern w:val="0"/>
          <w:sz w:val="24"/>
          <w:lang w:eastAsia="en-US"/>
          <w14:ligatures w14:val="none"/>
        </w:rPr>
      </w:pPr>
      <w:r w:rsidRPr="001A3910">
        <w:rPr>
          <w:rFonts w:ascii="Palatino Linotype" w:eastAsiaTheme="minorHAnsi" w:hAnsi="Palatino Linotype" w:cs="Aptos"/>
          <w:kern w:val="0"/>
          <w:sz w:val="24"/>
          <w:lang w:eastAsia="en-US"/>
          <w14:ligatures w14:val="none"/>
        </w:rPr>
        <w:t xml:space="preserve">Madrid, 23 de </w:t>
      </w:r>
      <w:r w:rsidR="00516E93">
        <w:rPr>
          <w:rFonts w:ascii="Palatino Linotype" w:eastAsiaTheme="minorHAnsi" w:hAnsi="Palatino Linotype" w:cs="Aptos"/>
          <w:kern w:val="0"/>
          <w:sz w:val="24"/>
          <w:lang w:eastAsia="en-US"/>
          <w14:ligatures w14:val="none"/>
        </w:rPr>
        <w:t>junio</w:t>
      </w:r>
      <w:r w:rsidRPr="001A3910">
        <w:rPr>
          <w:rFonts w:ascii="Palatino Linotype" w:eastAsiaTheme="minorHAnsi" w:hAnsi="Palatino Linotype" w:cs="Aptos"/>
          <w:kern w:val="0"/>
          <w:sz w:val="24"/>
          <w:lang w:eastAsia="en-US"/>
          <w14:ligatures w14:val="none"/>
        </w:rPr>
        <w:t xml:space="preserve"> de 202</w:t>
      </w:r>
      <w:r w:rsidR="00516E93">
        <w:rPr>
          <w:rFonts w:ascii="Palatino Linotype" w:eastAsiaTheme="minorHAnsi" w:hAnsi="Palatino Linotype" w:cs="Aptos"/>
          <w:kern w:val="0"/>
          <w:sz w:val="24"/>
          <w:lang w:eastAsia="en-US"/>
          <w14:ligatures w14:val="none"/>
        </w:rPr>
        <w:t>5</w:t>
      </w:r>
      <w:r w:rsidRPr="001A3910">
        <w:rPr>
          <w:rFonts w:ascii="Palatino Linotype" w:eastAsiaTheme="minorHAnsi" w:hAnsi="Palatino Linotype" w:cs="Aptos"/>
          <w:kern w:val="0"/>
          <w:sz w:val="24"/>
          <w:lang w:eastAsia="en-US"/>
          <w14:ligatures w14:val="none"/>
        </w:rPr>
        <w:t>.</w:t>
      </w:r>
    </w:p>
    <w:p w:rsidR="001A3910" w:rsidRDefault="001A3910" w:rsidP="001A3910">
      <w:pPr>
        <w:ind w:left="-5"/>
        <w:jc w:val="right"/>
        <w:rPr>
          <w:rFonts w:ascii="Palatino Linotype" w:eastAsiaTheme="minorHAnsi" w:hAnsi="Palatino Linotype" w:cs="Aptos"/>
          <w:kern w:val="0"/>
          <w:sz w:val="24"/>
          <w:lang w:eastAsia="en-US"/>
          <w14:ligatures w14:val="none"/>
        </w:rPr>
      </w:pPr>
    </w:p>
    <w:p w:rsidR="001A3910" w:rsidRPr="001A3910" w:rsidRDefault="001A3910" w:rsidP="001A3910">
      <w:pPr>
        <w:ind w:left="-5"/>
        <w:jc w:val="both"/>
        <w:rPr>
          <w:rFonts w:ascii="Palatino Linotype" w:eastAsiaTheme="minorHAnsi" w:hAnsi="Palatino Linotype" w:cs="Aptos"/>
          <w:kern w:val="0"/>
          <w:sz w:val="24"/>
          <w:lang w:eastAsia="en-US"/>
          <w14:ligatures w14:val="none"/>
        </w:rPr>
      </w:pPr>
      <w:r w:rsidRPr="001A3910">
        <w:rPr>
          <w:rFonts w:ascii="Palatino Linotype" w:eastAsiaTheme="minorHAnsi" w:hAnsi="Palatino Linotype" w:cs="Aptos"/>
          <w:kern w:val="0"/>
          <w:sz w:val="24"/>
          <w:lang w:eastAsia="en-US"/>
          <w14:ligatures w14:val="none"/>
        </w:rPr>
        <w:t>Comité de Coordinación Nacional de la Asociación Judicial Francisco de Vitoria</w:t>
      </w:r>
    </w:p>
    <w:p w:rsidR="00A75DD5" w:rsidRPr="004A6098" w:rsidRDefault="00A75DD5" w:rsidP="00CD65F1">
      <w:pPr>
        <w:pStyle w:val="Default"/>
        <w:jc w:val="both"/>
        <w:rPr>
          <w:rFonts w:ascii="Palatino Linotype" w:hAnsi="Palatino Linotype"/>
          <w:lang w:val="es-ES"/>
        </w:rPr>
      </w:pPr>
    </w:p>
    <w:p w:rsidR="00F976BE" w:rsidRPr="004A6098" w:rsidRDefault="00F976BE">
      <w:pPr>
        <w:rPr>
          <w:rFonts w:ascii="Palatino Linotype" w:hAnsi="Palatino Linotype"/>
          <w:sz w:val="24"/>
        </w:rPr>
      </w:pPr>
    </w:p>
    <w:sectPr w:rsidR="00F976BE" w:rsidRPr="004A60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00000003"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1D"/>
    <w:rsid w:val="001A3910"/>
    <w:rsid w:val="002A41F3"/>
    <w:rsid w:val="004216E9"/>
    <w:rsid w:val="0049712A"/>
    <w:rsid w:val="004A54C2"/>
    <w:rsid w:val="004A6098"/>
    <w:rsid w:val="00503679"/>
    <w:rsid w:val="00516E93"/>
    <w:rsid w:val="00520AA4"/>
    <w:rsid w:val="00537656"/>
    <w:rsid w:val="00574D25"/>
    <w:rsid w:val="00665C6F"/>
    <w:rsid w:val="006B64BA"/>
    <w:rsid w:val="00823F88"/>
    <w:rsid w:val="00860AE9"/>
    <w:rsid w:val="008E3214"/>
    <w:rsid w:val="008F3C2B"/>
    <w:rsid w:val="009D664E"/>
    <w:rsid w:val="009E5282"/>
    <w:rsid w:val="00A2468F"/>
    <w:rsid w:val="00A75DD5"/>
    <w:rsid w:val="00AB0BED"/>
    <w:rsid w:val="00B42D10"/>
    <w:rsid w:val="00B70DCD"/>
    <w:rsid w:val="00B9771D"/>
    <w:rsid w:val="00BC6DF7"/>
    <w:rsid w:val="00CD65F1"/>
    <w:rsid w:val="00CE27AA"/>
    <w:rsid w:val="00DA0C32"/>
    <w:rsid w:val="00DF1B2E"/>
    <w:rsid w:val="00E03846"/>
    <w:rsid w:val="00E31B4B"/>
    <w:rsid w:val="00E82074"/>
    <w:rsid w:val="00F976BE"/>
    <w:rsid w:val="00FC418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2B46"/>
  <w15:chartTrackingRefBased/>
  <w15:docId w15:val="{77D3A182-A83C-4B1E-BE03-77E82474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71D"/>
    <w:pPr>
      <w:spacing w:after="254" w:line="248" w:lineRule="auto"/>
      <w:ind w:left="10" w:hanging="10"/>
    </w:pPr>
    <w:rPr>
      <w:rFonts w:ascii="Times New Roman" w:eastAsia="Times New Roman" w:hAnsi="Times New Roman" w:cs="Times New Roman"/>
      <w:color w:val="000000"/>
      <w:kern w:val="2"/>
      <w:sz w:val="23"/>
      <w:szCs w:val="24"/>
      <w:lang w:val="es-ES" w:eastAsia="ja-JP"/>
      <w14:ligatures w14:val="standardContextu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2A41F3"/>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8</Pages>
  <Words>2486</Words>
  <Characters>14172</Characters>
  <Application>Microsoft Office Word</Application>
  <DocSecurity>0</DocSecurity>
  <Lines>118</Lines>
  <Paragraphs>33</Paragraphs>
  <ScaleCrop>false</ScaleCrop>
  <HeadingPairs>
    <vt:vector size="2" baseType="variant">
      <vt:variant>
        <vt:lpstr>Títol</vt:lpstr>
      </vt:variant>
      <vt:variant>
        <vt:i4>1</vt:i4>
      </vt:variant>
    </vt:vector>
  </HeadingPairs>
  <TitlesOfParts>
    <vt:vector size="1" baseType="lpstr">
      <vt:lpstr/>
    </vt:vector>
  </TitlesOfParts>
  <Company>T-Systems</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de Viana Cardenas, Maria del Rocío</dc:creator>
  <cp:keywords/>
  <dc:description/>
  <cp:lastModifiedBy>Moreno de Viana Cardenas, Maria del Rocío</cp:lastModifiedBy>
  <cp:revision>3</cp:revision>
  <dcterms:created xsi:type="dcterms:W3CDTF">2025-05-22T11:12:00Z</dcterms:created>
  <dcterms:modified xsi:type="dcterms:W3CDTF">2025-05-22T19:00:00Z</dcterms:modified>
</cp:coreProperties>
</file>