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AE55E" w14:textId="77777777" w:rsidR="00F3094B" w:rsidRDefault="00A3224B" w:rsidP="00A3224B">
      <w:pPr>
        <w:jc w:val="both"/>
        <w:rPr>
          <w:rFonts w:ascii="Bookman Old Style" w:hAnsi="Bookman Old Style"/>
          <w:sz w:val="24"/>
          <w:szCs w:val="24"/>
        </w:rPr>
      </w:pPr>
      <w:r w:rsidRPr="00A3224B">
        <w:rPr>
          <w:rFonts w:ascii="Bookman Old Style" w:hAnsi="Bookman Old Style"/>
          <w:sz w:val="24"/>
          <w:szCs w:val="24"/>
        </w:rPr>
        <w:t>Que</w:t>
      </w:r>
      <w:r>
        <w:rPr>
          <w:rFonts w:ascii="Bookman Old Style" w:hAnsi="Bookman Old Style"/>
          <w:sz w:val="24"/>
          <w:szCs w:val="24"/>
        </w:rPr>
        <w:t>ridos/as compañeros/as:</w:t>
      </w:r>
    </w:p>
    <w:p w14:paraId="6D4E2B7A" w14:textId="77777777" w:rsidR="00A3224B" w:rsidRDefault="00A3224B" w:rsidP="00A3224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Os escribo esta comunicación para informaros</w:t>
      </w:r>
      <w:r w:rsidR="006144E9">
        <w:rPr>
          <w:rFonts w:ascii="Bookman Old Style" w:hAnsi="Bookman Old Style"/>
          <w:sz w:val="24"/>
          <w:szCs w:val="24"/>
        </w:rPr>
        <w:t xml:space="preserve"> sucintamente</w:t>
      </w:r>
      <w:r>
        <w:rPr>
          <w:rFonts w:ascii="Bookman Old Style" w:hAnsi="Bookman Old Style"/>
          <w:sz w:val="24"/>
          <w:szCs w:val="24"/>
        </w:rPr>
        <w:t xml:space="preserve"> de las </w:t>
      </w:r>
      <w:r w:rsidR="006144E9">
        <w:rPr>
          <w:rFonts w:ascii="Bookman Old Style" w:hAnsi="Bookman Old Style"/>
          <w:sz w:val="24"/>
          <w:szCs w:val="24"/>
        </w:rPr>
        <w:t>actuaciones</w:t>
      </w:r>
      <w:r>
        <w:rPr>
          <w:rFonts w:ascii="Bookman Old Style" w:hAnsi="Bookman Old Style"/>
          <w:sz w:val="24"/>
          <w:szCs w:val="24"/>
        </w:rPr>
        <w:t xml:space="preserve"> efectuadas a lo largo del día de hoy y de las previstas para mañana lunes, con objeto de atender a la situación generada por la declaración del estado de alarma, consecuencia de la epidemia COVID-19.</w:t>
      </w:r>
    </w:p>
    <w:p w14:paraId="6AE6C98D" w14:textId="77777777" w:rsidR="00A3224B" w:rsidRDefault="00A3224B" w:rsidP="00A3224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Como bien sabéis, ayer, el CGPJ extendió el escenario 3 a todo el territorio nacional, incluido Aragón. Esto ha supuesto la suspensión de</w:t>
      </w:r>
      <w:r w:rsidRPr="00A3224B">
        <w:rPr>
          <w:rFonts w:ascii="Bookman Old Style" w:hAnsi="Bookman Old Style"/>
          <w:sz w:val="24"/>
          <w:szCs w:val="24"/>
        </w:rPr>
        <w:t xml:space="preserve"> t</w:t>
      </w:r>
      <w:r>
        <w:rPr>
          <w:rFonts w:ascii="Bookman Old Style" w:hAnsi="Bookman Old Style"/>
          <w:sz w:val="24"/>
          <w:szCs w:val="24"/>
        </w:rPr>
        <w:t xml:space="preserve">odas las actuaciones judiciales </w:t>
      </w:r>
      <w:r w:rsidRPr="00A3224B">
        <w:rPr>
          <w:rFonts w:ascii="Bookman Old Style" w:hAnsi="Bookman Old Style"/>
          <w:sz w:val="24"/>
          <w:szCs w:val="24"/>
        </w:rPr>
        <w:t xml:space="preserve">programadas y los plazos procesales que tal </w:t>
      </w:r>
      <w:r>
        <w:rPr>
          <w:rFonts w:ascii="Bookman Old Style" w:hAnsi="Bookman Old Style"/>
          <w:sz w:val="24"/>
          <w:szCs w:val="24"/>
        </w:rPr>
        <w:t xml:space="preserve">decisión conlleva, salvo en los </w:t>
      </w:r>
      <w:r w:rsidRPr="00A3224B">
        <w:rPr>
          <w:rFonts w:ascii="Bookman Old Style" w:hAnsi="Bookman Old Style"/>
          <w:sz w:val="24"/>
          <w:szCs w:val="24"/>
        </w:rPr>
        <w:t>supuestos de servicios esenciales</w:t>
      </w:r>
      <w:r>
        <w:rPr>
          <w:rFonts w:ascii="Bookman Old Style" w:hAnsi="Bookman Old Style"/>
          <w:sz w:val="24"/>
          <w:szCs w:val="24"/>
        </w:rPr>
        <w:t>, detallados por el propio CGPJ</w:t>
      </w:r>
      <w:r w:rsidR="006144E9">
        <w:rPr>
          <w:rFonts w:ascii="Bookman Old Style" w:hAnsi="Bookman Old Style"/>
          <w:sz w:val="24"/>
          <w:szCs w:val="24"/>
        </w:rPr>
        <w:t xml:space="preserve">: </w:t>
      </w:r>
    </w:p>
    <w:p w14:paraId="32CF0528" w14:textId="77777777" w:rsidR="00A3224B" w:rsidRPr="00A3224B" w:rsidRDefault="00A3224B" w:rsidP="00A3224B">
      <w:pPr>
        <w:ind w:left="567" w:right="566"/>
        <w:jc w:val="both"/>
        <w:rPr>
          <w:rFonts w:ascii="Bookman Old Style" w:hAnsi="Bookman Old Style"/>
          <w:sz w:val="20"/>
          <w:szCs w:val="20"/>
        </w:rPr>
      </w:pPr>
      <w:r w:rsidRPr="00A3224B">
        <w:rPr>
          <w:rFonts w:ascii="Bookman Old Style" w:hAnsi="Bookman Old Style"/>
          <w:sz w:val="20"/>
          <w:szCs w:val="20"/>
        </w:rPr>
        <w:t>1. Cualquier actuación judicial que, de no practicarse, pudiera causar perjuicio irreparable.</w:t>
      </w:r>
    </w:p>
    <w:p w14:paraId="4B05AEC4" w14:textId="77777777" w:rsidR="00A3224B" w:rsidRPr="00A3224B" w:rsidRDefault="00A3224B" w:rsidP="00A3224B">
      <w:pPr>
        <w:ind w:left="567" w:right="566"/>
        <w:jc w:val="both"/>
        <w:rPr>
          <w:rFonts w:ascii="Bookman Old Style" w:hAnsi="Bookman Old Style"/>
          <w:sz w:val="20"/>
          <w:szCs w:val="20"/>
        </w:rPr>
      </w:pPr>
      <w:r w:rsidRPr="00A3224B">
        <w:rPr>
          <w:rFonts w:ascii="Bookman Old Style" w:hAnsi="Bookman Old Style"/>
          <w:sz w:val="20"/>
          <w:szCs w:val="20"/>
        </w:rPr>
        <w:t>2. Internamientos urgentes del artículo 763 de la LEC.</w:t>
      </w:r>
    </w:p>
    <w:p w14:paraId="340E69E0" w14:textId="77777777" w:rsidR="00A3224B" w:rsidRPr="00A3224B" w:rsidRDefault="00A3224B" w:rsidP="00A3224B">
      <w:pPr>
        <w:ind w:left="567" w:right="566"/>
        <w:jc w:val="both"/>
        <w:rPr>
          <w:rFonts w:ascii="Bookman Old Style" w:hAnsi="Bookman Old Style"/>
          <w:sz w:val="20"/>
          <w:szCs w:val="20"/>
        </w:rPr>
      </w:pPr>
      <w:r w:rsidRPr="00A3224B">
        <w:rPr>
          <w:rFonts w:ascii="Bookman Old Style" w:hAnsi="Bookman Old Style"/>
          <w:sz w:val="20"/>
          <w:szCs w:val="20"/>
        </w:rPr>
        <w:t>3. La adopción de medidas cautelares u otras actuaciones inaplazables, como las medidas de protecci</w:t>
      </w:r>
      <w:bookmarkStart w:id="0" w:name="_GoBack"/>
      <w:bookmarkEnd w:id="0"/>
      <w:r w:rsidRPr="00A3224B">
        <w:rPr>
          <w:rFonts w:ascii="Bookman Old Style" w:hAnsi="Bookman Old Style"/>
          <w:sz w:val="20"/>
          <w:szCs w:val="20"/>
        </w:rPr>
        <w:t>ón de menores del articulo 158 CC.</w:t>
      </w:r>
    </w:p>
    <w:p w14:paraId="28007398" w14:textId="77777777" w:rsidR="00A3224B" w:rsidRPr="00A3224B" w:rsidRDefault="00A3224B" w:rsidP="00A3224B">
      <w:pPr>
        <w:ind w:left="567" w:right="566"/>
        <w:jc w:val="both"/>
        <w:rPr>
          <w:rFonts w:ascii="Bookman Old Style" w:hAnsi="Bookman Old Style"/>
          <w:sz w:val="20"/>
          <w:szCs w:val="20"/>
        </w:rPr>
      </w:pPr>
      <w:r w:rsidRPr="00A3224B">
        <w:rPr>
          <w:rFonts w:ascii="Bookman Old Style" w:hAnsi="Bookman Old Style"/>
          <w:sz w:val="20"/>
          <w:szCs w:val="20"/>
        </w:rPr>
        <w:t>4. Los juzgados de violencia sobre la mujer realizarán los servicios de guardia que les correspondan. En particular deberán asegurar el dictado de las órdenes de protección y cualquier medida cautelar en materia de violencia sobre la mujer y menores.</w:t>
      </w:r>
    </w:p>
    <w:p w14:paraId="345F510E" w14:textId="77777777" w:rsidR="00A3224B" w:rsidRPr="00A3224B" w:rsidRDefault="00A3224B" w:rsidP="00A3224B">
      <w:pPr>
        <w:ind w:left="567" w:right="566"/>
        <w:jc w:val="both"/>
        <w:rPr>
          <w:rFonts w:ascii="Bookman Old Style" w:hAnsi="Bookman Old Style"/>
          <w:sz w:val="20"/>
          <w:szCs w:val="20"/>
        </w:rPr>
      </w:pPr>
      <w:r w:rsidRPr="00A3224B">
        <w:rPr>
          <w:rFonts w:ascii="Bookman Old Style" w:hAnsi="Bookman Old Style"/>
          <w:sz w:val="20"/>
          <w:szCs w:val="20"/>
        </w:rPr>
        <w:t>5. El Registro Civil prestará atención permanente durante las horas de audiencia. En particular, deberán asegurar la expedición de licencias de enterramiento, las inscripciones de nacimiento en plazo perentorio y la celebración de matrimonios del articulo 52 CC.</w:t>
      </w:r>
    </w:p>
    <w:p w14:paraId="47B560D3" w14:textId="77777777" w:rsidR="00A3224B" w:rsidRPr="00A3224B" w:rsidRDefault="00A3224B" w:rsidP="00A3224B">
      <w:pPr>
        <w:ind w:left="567" w:right="566"/>
        <w:jc w:val="both"/>
        <w:rPr>
          <w:rFonts w:ascii="Bookman Old Style" w:hAnsi="Bookman Old Style"/>
          <w:sz w:val="20"/>
          <w:szCs w:val="20"/>
        </w:rPr>
      </w:pPr>
      <w:r w:rsidRPr="00A3224B">
        <w:rPr>
          <w:rFonts w:ascii="Bookman Old Style" w:hAnsi="Bookman Old Style"/>
          <w:sz w:val="20"/>
          <w:szCs w:val="20"/>
        </w:rPr>
        <w:t>6. Las actuaciones con detenido y otras que resulten inaplazables, como adopción de medidas cautelares urgentes, levantamientos de cadáver, entradas y registros, etc.</w:t>
      </w:r>
    </w:p>
    <w:p w14:paraId="14505738" w14:textId="77777777" w:rsidR="00A3224B" w:rsidRPr="00A3224B" w:rsidRDefault="00A3224B" w:rsidP="00A3224B">
      <w:pPr>
        <w:ind w:left="567" w:right="566"/>
        <w:jc w:val="both"/>
        <w:rPr>
          <w:rFonts w:ascii="Bookman Old Style" w:hAnsi="Bookman Old Style"/>
          <w:sz w:val="20"/>
          <w:szCs w:val="20"/>
        </w:rPr>
      </w:pPr>
      <w:r w:rsidRPr="00A3224B">
        <w:rPr>
          <w:rFonts w:ascii="Bookman Old Style" w:hAnsi="Bookman Old Style"/>
          <w:sz w:val="20"/>
          <w:szCs w:val="20"/>
        </w:rPr>
        <w:t>7. Cualquier actuación en causa con presos o detenidos.</w:t>
      </w:r>
    </w:p>
    <w:p w14:paraId="692ECDA4" w14:textId="77777777" w:rsidR="00A3224B" w:rsidRPr="00A3224B" w:rsidRDefault="00A3224B" w:rsidP="00A3224B">
      <w:pPr>
        <w:ind w:left="567" w:right="566"/>
        <w:jc w:val="both"/>
        <w:rPr>
          <w:rFonts w:ascii="Bookman Old Style" w:hAnsi="Bookman Old Style"/>
          <w:sz w:val="20"/>
          <w:szCs w:val="20"/>
        </w:rPr>
      </w:pPr>
      <w:r w:rsidRPr="00A3224B">
        <w:rPr>
          <w:rFonts w:ascii="Bookman Old Style" w:hAnsi="Bookman Old Style"/>
          <w:sz w:val="20"/>
          <w:szCs w:val="20"/>
        </w:rPr>
        <w:t>8. Actuaciones urgentes en materia de vigilancia penitenciaria.</w:t>
      </w:r>
    </w:p>
    <w:p w14:paraId="439405AA" w14:textId="77777777" w:rsidR="00A3224B" w:rsidRPr="00A3224B" w:rsidRDefault="00A3224B" w:rsidP="00A3224B">
      <w:pPr>
        <w:ind w:left="567" w:right="566"/>
        <w:jc w:val="both"/>
        <w:rPr>
          <w:rFonts w:ascii="Bookman Old Style" w:hAnsi="Bookman Old Style"/>
          <w:sz w:val="20"/>
          <w:szCs w:val="20"/>
        </w:rPr>
      </w:pPr>
      <w:r w:rsidRPr="00A3224B">
        <w:rPr>
          <w:rFonts w:ascii="Bookman Old Style" w:hAnsi="Bookman Old Style"/>
          <w:sz w:val="20"/>
          <w:szCs w:val="20"/>
        </w:rPr>
        <w:t xml:space="preserve">9. En el orden jurisdiccional contencioso-administrativo, las autorizaciones de entrada sanitarias, urgentes e inaplazables, derechos fundamentales cuya resolución tenga carácter urgente, medidas </w:t>
      </w:r>
      <w:proofErr w:type="spellStart"/>
      <w:r w:rsidRPr="00A3224B">
        <w:rPr>
          <w:rFonts w:ascii="Bookman Old Style" w:hAnsi="Bookman Old Style"/>
          <w:sz w:val="20"/>
          <w:szCs w:val="20"/>
        </w:rPr>
        <w:t>cautelarísimas</w:t>
      </w:r>
      <w:proofErr w:type="spellEnd"/>
      <w:r w:rsidRPr="00A3224B">
        <w:rPr>
          <w:rFonts w:ascii="Bookman Old Style" w:hAnsi="Bookman Old Style"/>
          <w:sz w:val="20"/>
          <w:szCs w:val="20"/>
        </w:rPr>
        <w:t xml:space="preserve"> y cautelares que sean urgentes, y recursos contencioso-electoral.</w:t>
      </w:r>
    </w:p>
    <w:p w14:paraId="20AA129E" w14:textId="77777777" w:rsidR="00A3224B" w:rsidRPr="00A3224B" w:rsidRDefault="00A3224B" w:rsidP="00A3224B">
      <w:pPr>
        <w:ind w:left="567" w:right="566"/>
        <w:jc w:val="both"/>
        <w:rPr>
          <w:rFonts w:ascii="Bookman Old Style" w:hAnsi="Bookman Old Style"/>
          <w:sz w:val="20"/>
          <w:szCs w:val="20"/>
        </w:rPr>
      </w:pPr>
      <w:r w:rsidRPr="00A3224B">
        <w:rPr>
          <w:rFonts w:ascii="Bookman Old Style" w:hAnsi="Bookman Old Style"/>
          <w:sz w:val="20"/>
          <w:szCs w:val="20"/>
        </w:rPr>
        <w:t xml:space="preserve">10. En el orden jurisdiccional social, la celebración de juicios declarados urgentes por la ley y las medidas cautelares urgentes y preferentes, así como los procesos de </w:t>
      </w:r>
      <w:proofErr w:type="spellStart"/>
      <w:r w:rsidRPr="00A3224B">
        <w:rPr>
          <w:rFonts w:ascii="Bookman Old Style" w:hAnsi="Bookman Old Style"/>
          <w:sz w:val="20"/>
          <w:szCs w:val="20"/>
        </w:rPr>
        <w:t>EREs</w:t>
      </w:r>
      <w:proofErr w:type="spellEnd"/>
      <w:r w:rsidRPr="00A3224B">
        <w:rPr>
          <w:rFonts w:ascii="Bookman Old Style" w:hAnsi="Bookman Old Style"/>
          <w:sz w:val="20"/>
          <w:szCs w:val="20"/>
        </w:rPr>
        <w:t xml:space="preserve"> y </w:t>
      </w:r>
      <w:proofErr w:type="spellStart"/>
      <w:r w:rsidRPr="00A3224B">
        <w:rPr>
          <w:rFonts w:ascii="Bookman Old Style" w:hAnsi="Bookman Old Style"/>
          <w:sz w:val="20"/>
          <w:szCs w:val="20"/>
        </w:rPr>
        <w:t>ERTEs</w:t>
      </w:r>
      <w:proofErr w:type="spellEnd"/>
      <w:r w:rsidRPr="00A3224B">
        <w:rPr>
          <w:rFonts w:ascii="Bookman Old Style" w:hAnsi="Bookman Old Style"/>
          <w:sz w:val="20"/>
          <w:szCs w:val="20"/>
        </w:rPr>
        <w:t>.</w:t>
      </w:r>
    </w:p>
    <w:p w14:paraId="3798F24B" w14:textId="77777777" w:rsidR="00A3224B" w:rsidRDefault="00A3224B" w:rsidP="00A3224B">
      <w:pPr>
        <w:ind w:left="567" w:right="566"/>
        <w:jc w:val="both"/>
        <w:rPr>
          <w:rFonts w:ascii="Bookman Old Style" w:hAnsi="Bookman Old Style"/>
          <w:sz w:val="24"/>
          <w:szCs w:val="24"/>
        </w:rPr>
      </w:pPr>
      <w:r w:rsidRPr="00A3224B">
        <w:rPr>
          <w:rFonts w:ascii="Bookman Old Style" w:hAnsi="Bookman Old Style"/>
          <w:sz w:val="20"/>
          <w:szCs w:val="20"/>
        </w:rPr>
        <w:t>11. En general, los procesos en los que se alegue vulneración de derechos fundamentales y que sean urgentes y preferentes (es decir, aquellos cuyo aplazamiento impediría o haría muy gravosa la tutela judicial reclamada)</w:t>
      </w:r>
      <w:r w:rsidRPr="00A3224B">
        <w:rPr>
          <w:rFonts w:ascii="Bookman Old Style" w:hAnsi="Bookman Old Style"/>
          <w:sz w:val="24"/>
          <w:szCs w:val="24"/>
        </w:rPr>
        <w:t>.</w:t>
      </w:r>
    </w:p>
    <w:p w14:paraId="0193F83F" w14:textId="77777777" w:rsidR="00A3224B" w:rsidRDefault="00A3224B" w:rsidP="00A3224B">
      <w:pPr>
        <w:ind w:right="-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 w:rsidR="00DE18A6">
        <w:rPr>
          <w:rFonts w:ascii="Bookman Old Style" w:hAnsi="Bookman Old Style"/>
          <w:sz w:val="24"/>
          <w:szCs w:val="24"/>
        </w:rPr>
        <w:t xml:space="preserve"> Mañana lunes, </w:t>
      </w:r>
      <w:r w:rsidR="006144E9">
        <w:rPr>
          <w:rFonts w:ascii="Bookman Old Style" w:hAnsi="Bookman Old Style"/>
          <w:sz w:val="24"/>
          <w:szCs w:val="24"/>
        </w:rPr>
        <w:t>a las 9,30 horas, he convocado</w:t>
      </w:r>
      <w:r w:rsidR="00DE18A6">
        <w:rPr>
          <w:rFonts w:ascii="Bookman Old Style" w:hAnsi="Bookman Old Style"/>
          <w:sz w:val="24"/>
          <w:szCs w:val="24"/>
        </w:rPr>
        <w:t xml:space="preserve"> la Comisión de Seguimiento prevista en las Instrucciones del CGPJ (excluyendo a los miembros de Huesca y Teruel para evitar que tengan que desplazarse, y para reducir el número de asistentes).</w:t>
      </w:r>
      <w:r w:rsidR="00FF7291">
        <w:rPr>
          <w:rFonts w:ascii="Bookman Old Style" w:hAnsi="Bookman Old Style"/>
          <w:sz w:val="24"/>
          <w:szCs w:val="24"/>
        </w:rPr>
        <w:t xml:space="preserve"> En dicha reunión analizaremos la </w:t>
      </w:r>
      <w:r w:rsidR="00FF7291">
        <w:rPr>
          <w:rFonts w:ascii="Bookman Old Style" w:hAnsi="Bookman Old Style"/>
          <w:sz w:val="24"/>
          <w:szCs w:val="24"/>
        </w:rPr>
        <w:lastRenderedPageBreak/>
        <w:t>situación y las decisiones a adoptar, siempre pendientes de lo que pueda acordar la Comisión Permanente del CGPJ.</w:t>
      </w:r>
    </w:p>
    <w:p w14:paraId="24A749ED" w14:textId="77777777" w:rsidR="00FF7291" w:rsidRDefault="00FF7291" w:rsidP="00A3224B">
      <w:pPr>
        <w:ind w:right="-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 Mañana también está prevista la reunión de</w:t>
      </w:r>
      <w:r w:rsidRPr="00FF72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la Comisión Permanente del CGPJ que, entre otras cuestiones, tiene previsto tratar el ajuste de los servicios esenciales fijados por el CGPJ en relación a</w:t>
      </w:r>
      <w:r w:rsidR="00144E0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l</w:t>
      </w:r>
      <w:r w:rsidR="00144E0F">
        <w:rPr>
          <w:rFonts w:ascii="Bookman Old Style" w:hAnsi="Bookman Old Style"/>
          <w:sz w:val="24"/>
          <w:szCs w:val="24"/>
        </w:rPr>
        <w:t>os del</w:t>
      </w:r>
      <w:r>
        <w:rPr>
          <w:rFonts w:ascii="Bookman Old Style" w:hAnsi="Bookman Old Style"/>
          <w:sz w:val="24"/>
          <w:szCs w:val="24"/>
        </w:rPr>
        <w:t xml:space="preserve"> DTO de alarma; incluido aclarar los servicios de guardia en partidos judiciales con juzgados mixtos. Y es posible que también fijen criterios sobre el régimen de turnos u otras materias.</w:t>
      </w:r>
    </w:p>
    <w:p w14:paraId="40CBD60D" w14:textId="77777777" w:rsidR="00FF7291" w:rsidRDefault="00FF7291" w:rsidP="00A3224B">
      <w:pPr>
        <w:ind w:right="-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 No obstante, con objeto</w:t>
      </w:r>
      <w:r w:rsidR="00243396">
        <w:rPr>
          <w:rFonts w:ascii="Bookman Old Style" w:hAnsi="Bookman Old Style"/>
          <w:sz w:val="24"/>
          <w:szCs w:val="24"/>
        </w:rPr>
        <w:t xml:space="preserve"> de contar ya con propuestas</w:t>
      </w:r>
      <w:r w:rsidR="00D138A3">
        <w:rPr>
          <w:rFonts w:ascii="Bookman Old Style" w:hAnsi="Bookman Old Style"/>
          <w:sz w:val="24"/>
          <w:szCs w:val="24"/>
        </w:rPr>
        <w:t xml:space="preserve"> sobre el régimen de turnos</w:t>
      </w:r>
      <w:r w:rsidR="00243396">
        <w:rPr>
          <w:rFonts w:ascii="Bookman Old Style" w:hAnsi="Bookman Old Style"/>
          <w:sz w:val="24"/>
          <w:szCs w:val="24"/>
        </w:rPr>
        <w:t xml:space="preserve"> para debatir en la Comisión, y también para que mañana lunes cada uno de vosotros pudiera saber a qué atenerse, al menos de manera provisional, he solicitado de los decanos de Zaragoza, Huesca y Teruel, que me hiciera llegar esas propuestas previa consulta con vosotros. También he hablado con algún compañero de partido judicial que no es capital de provincia para conocer su opinión. No </w:t>
      </w:r>
      <w:r w:rsidR="0020180E">
        <w:rPr>
          <w:rFonts w:ascii="Bookman Old Style" w:hAnsi="Bookman Old Style"/>
          <w:sz w:val="24"/>
          <w:szCs w:val="24"/>
        </w:rPr>
        <w:t xml:space="preserve">obstante, en los partidos de dos juzgados </w:t>
      </w:r>
      <w:r w:rsidR="00243396">
        <w:rPr>
          <w:rFonts w:ascii="Bookman Old Style" w:hAnsi="Bookman Old Style"/>
          <w:sz w:val="24"/>
          <w:szCs w:val="24"/>
        </w:rPr>
        <w:t>el sistema de turnos que pueda establecerse descansará, fundamentalmente, en el juez que esté de guardia, debiéndose valorar si mantener la de semana prevista en el régimen ordinario, o plantear un cambio de guardia más breve por razones de conciliación. Estas cuestiones serán objeto de estudio.</w:t>
      </w:r>
    </w:p>
    <w:p w14:paraId="66DF849A" w14:textId="77777777" w:rsidR="00C44D2D" w:rsidRDefault="00C44D2D" w:rsidP="00A3224B">
      <w:pPr>
        <w:ind w:right="-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También he hablado con los presidentes de las Audiencias Provinciales y mañana trataremos el régimen en los órganos colegiados, que resulta menos problemático que en los unipersonales.</w:t>
      </w:r>
    </w:p>
    <w:p w14:paraId="27EF023B" w14:textId="77777777" w:rsidR="00D138A3" w:rsidRDefault="00C44D2D" w:rsidP="00A3224B">
      <w:pPr>
        <w:ind w:right="-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</w:t>
      </w:r>
      <w:r w:rsidR="00D138A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D138A3">
        <w:rPr>
          <w:rFonts w:ascii="Bookman Old Style" w:hAnsi="Bookman Old Style"/>
          <w:sz w:val="24"/>
          <w:szCs w:val="24"/>
        </w:rPr>
        <w:t>Respecto del sistema de turnos, en el caso de que se acuerde de manera definitiva, no impide, en principio y salvo que se acuerde lo contrario, que el juez que quiera acudir a trabajar pueda hacerlo.</w:t>
      </w:r>
    </w:p>
    <w:p w14:paraId="173555B2" w14:textId="77777777" w:rsidR="00D138A3" w:rsidRDefault="00D138A3" w:rsidP="00A3224B">
      <w:pPr>
        <w:ind w:right="-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Además, a la hora de conformar dicho sistema habrá que tener en especial consideración a las personas que pudieran estar en especial riesgo en caso de contagio.</w:t>
      </w:r>
    </w:p>
    <w:p w14:paraId="74255358" w14:textId="77777777" w:rsidR="00C44D2D" w:rsidRDefault="00D138A3" w:rsidP="00A3224B">
      <w:pPr>
        <w:ind w:right="-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6. </w:t>
      </w:r>
      <w:r w:rsidR="00C44D2D">
        <w:rPr>
          <w:rFonts w:ascii="Bookman Old Style" w:hAnsi="Bookman Old Style"/>
          <w:sz w:val="24"/>
          <w:szCs w:val="24"/>
        </w:rPr>
        <w:t>Como ya se indicó en las instrucciones del CGPJ y en el acuerdo que adoptó el viernes la Sala de Gobierno, se recomienda la utilización del trabajo en remoto en cuanto sea posible.</w:t>
      </w:r>
    </w:p>
    <w:p w14:paraId="56FB5453" w14:textId="77777777" w:rsidR="0020180E" w:rsidRDefault="0020180E" w:rsidP="00A3224B">
      <w:pPr>
        <w:ind w:right="-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 Resulta importante que estéis localizables en todo momento.</w:t>
      </w:r>
    </w:p>
    <w:p w14:paraId="02DEC9A6" w14:textId="77777777" w:rsidR="00144E0F" w:rsidRDefault="0020180E" w:rsidP="00A3224B">
      <w:pPr>
        <w:ind w:right="-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 os mantendrá informados de todo lo que se vaya acordando. Para el caso de que tengáis que realizar alguna solicitud o transmitir información, por favor, hacedlo a través de la dirección de correo de secretaría de gobierno que se incluyó en el acuerdo de Sala de Gobierno del viernes. </w:t>
      </w:r>
      <w:hyperlink r:id="rId4" w:history="1">
        <w:r w:rsidR="00144E0F" w:rsidRPr="00F47771">
          <w:rPr>
            <w:rStyle w:val="Hipervnculo"/>
            <w:rFonts w:ascii="Bookman Old Style" w:hAnsi="Bookman Old Style"/>
            <w:sz w:val="24"/>
            <w:szCs w:val="24"/>
          </w:rPr>
          <w:t>tsjzaragoza@justicia.aragon.es</w:t>
        </w:r>
      </w:hyperlink>
    </w:p>
    <w:p w14:paraId="37EAA272" w14:textId="77777777" w:rsidR="00144E0F" w:rsidRDefault="00144E0F" w:rsidP="00A3224B">
      <w:pPr>
        <w:ind w:right="-1"/>
        <w:jc w:val="both"/>
        <w:rPr>
          <w:rFonts w:ascii="Bookman Old Style" w:hAnsi="Bookman Old Style"/>
          <w:sz w:val="24"/>
          <w:szCs w:val="24"/>
        </w:rPr>
      </w:pPr>
    </w:p>
    <w:p w14:paraId="3F66D1A6" w14:textId="77777777" w:rsidR="0020180E" w:rsidRDefault="0020180E" w:rsidP="00A3224B">
      <w:pPr>
        <w:ind w:right="-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Espero que esta información os haya sido útil. Me tenéis a vuestra disposición. Gracias por vuestra </w:t>
      </w:r>
      <w:r w:rsidR="00144E0F">
        <w:rPr>
          <w:rFonts w:ascii="Bookman Old Style" w:hAnsi="Bookman Old Style"/>
          <w:sz w:val="24"/>
          <w:szCs w:val="24"/>
        </w:rPr>
        <w:t>dedicación y, por favor, ¡cuida</w:t>
      </w:r>
      <w:r>
        <w:rPr>
          <w:rFonts w:ascii="Bookman Old Style" w:hAnsi="Bookman Old Style"/>
          <w:sz w:val="24"/>
          <w:szCs w:val="24"/>
        </w:rPr>
        <w:t>os!</w:t>
      </w:r>
    </w:p>
    <w:p w14:paraId="66859CCD" w14:textId="77777777" w:rsidR="0020180E" w:rsidRDefault="0020180E" w:rsidP="00A3224B">
      <w:pPr>
        <w:ind w:right="-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Manuel Bellido Aspas</w:t>
      </w:r>
    </w:p>
    <w:p w14:paraId="2EDD59F6" w14:textId="77777777" w:rsidR="0020180E" w:rsidRPr="00A3224B" w:rsidRDefault="0020180E" w:rsidP="00A3224B">
      <w:pPr>
        <w:ind w:right="-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del TSJ Aragón.</w:t>
      </w:r>
    </w:p>
    <w:sectPr w:rsidR="0020180E" w:rsidRPr="00A32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46"/>
    <w:rsid w:val="00075FC6"/>
    <w:rsid w:val="00144E0F"/>
    <w:rsid w:val="0020180E"/>
    <w:rsid w:val="00243396"/>
    <w:rsid w:val="006144E9"/>
    <w:rsid w:val="00962E46"/>
    <w:rsid w:val="00A3224B"/>
    <w:rsid w:val="00B3171B"/>
    <w:rsid w:val="00C44D2D"/>
    <w:rsid w:val="00CB5543"/>
    <w:rsid w:val="00D138A3"/>
    <w:rsid w:val="00DE18A6"/>
    <w:rsid w:val="00F605A6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2B56"/>
  <w15:chartTrackingRefBased/>
  <w15:docId w15:val="{C026BBD0-27E3-4537-919C-9E4F60D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4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02777">
                          <w:marLeft w:val="1"/>
                          <w:marRight w:val="1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tsjzaragoza@justicia.aragon.es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4514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VERDE</cp:lastModifiedBy>
  <cp:revision>2</cp:revision>
  <dcterms:created xsi:type="dcterms:W3CDTF">2020-03-19T11:27:00Z</dcterms:created>
  <dcterms:modified xsi:type="dcterms:W3CDTF">2020-03-19T11:27:00Z</dcterms:modified>
</cp:coreProperties>
</file>