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E88" w:rsidRDefault="00511E88" w:rsidP="009A2A2C">
      <w:pPr>
        <w:shd w:val="clear" w:color="auto" w:fill="FFFFFF"/>
        <w:spacing w:before="100" w:beforeAutospacing="1" w:after="100" w:afterAutospacing="1"/>
        <w:jc w:val="center"/>
        <w:rPr>
          <w:rFonts w:ascii="Calibri" w:eastAsia="Times New Roman" w:hAnsi="Calibri" w:cs="Calibri"/>
          <w:b/>
          <w:bCs/>
          <w:color w:val="201F1E"/>
          <w:u w:val="single"/>
          <w:lang w:eastAsia="es-ES_tradnl"/>
        </w:rPr>
      </w:pPr>
      <w:r w:rsidRPr="00757D3F">
        <w:rPr>
          <w:rFonts w:ascii="Times New Roman" w:hAnsi="Times New Roman" w:cs="Times New Roman"/>
          <w:noProof/>
        </w:rPr>
        <w:drawing>
          <wp:inline distT="0" distB="0" distL="0" distR="0" wp14:anchorId="50DAAA2E" wp14:editId="6FBF8EC9">
            <wp:extent cx="688848" cy="60367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r="-404" b="12013"/>
                    <a:stretch>
                      <a:fillRect/>
                    </a:stretch>
                  </pic:blipFill>
                  <pic:spPr bwMode="auto">
                    <a:xfrm>
                      <a:off x="0" y="0"/>
                      <a:ext cx="702012" cy="615206"/>
                    </a:xfrm>
                    <a:prstGeom prst="rect">
                      <a:avLst/>
                    </a:prstGeom>
                    <a:noFill/>
                  </pic:spPr>
                </pic:pic>
              </a:graphicData>
            </a:graphic>
          </wp:inline>
        </w:drawing>
      </w:r>
    </w:p>
    <w:p w:rsidR="009A2A2C" w:rsidRPr="00511E88" w:rsidRDefault="0056717A" w:rsidP="009A2A2C">
      <w:pPr>
        <w:shd w:val="clear" w:color="auto" w:fill="FFFFFF"/>
        <w:spacing w:before="100" w:beforeAutospacing="1" w:after="100" w:afterAutospacing="1"/>
        <w:jc w:val="center"/>
        <w:rPr>
          <w:rFonts w:ascii="Calibri" w:eastAsia="Times New Roman" w:hAnsi="Calibri" w:cs="Calibri"/>
          <w:b/>
          <w:bCs/>
          <w:color w:val="201F1E"/>
          <w:u w:val="single"/>
          <w:lang w:eastAsia="es-ES_tradnl"/>
        </w:rPr>
      </w:pPr>
      <w:r w:rsidRPr="00511E88">
        <w:rPr>
          <w:rFonts w:ascii="Calibri" w:eastAsia="Times New Roman" w:hAnsi="Calibri" w:cs="Calibri"/>
          <w:b/>
          <w:bCs/>
          <w:color w:val="201F1E"/>
          <w:u w:val="single"/>
          <w:lang w:eastAsia="es-ES_tradnl"/>
        </w:rPr>
        <w:t>A LA ESCUELA JUDICIAL</w:t>
      </w:r>
    </w:p>
    <w:p w:rsidR="00511E88" w:rsidRPr="00511E88" w:rsidRDefault="00511E88" w:rsidP="009A2A2C">
      <w:pPr>
        <w:shd w:val="clear" w:color="auto" w:fill="FFFFFF"/>
        <w:spacing w:before="100" w:beforeAutospacing="1" w:after="100" w:afterAutospacing="1"/>
        <w:jc w:val="center"/>
        <w:rPr>
          <w:rFonts w:ascii="Calibri" w:eastAsia="Times New Roman" w:hAnsi="Calibri" w:cs="Calibri"/>
          <w:b/>
          <w:bCs/>
          <w:color w:val="201F1E"/>
          <w:u w:val="single"/>
          <w:lang w:eastAsia="es-ES_tradnl"/>
        </w:rPr>
      </w:pPr>
      <w:r w:rsidRPr="00511E88">
        <w:rPr>
          <w:rFonts w:ascii="Calibri" w:eastAsia="Times New Roman" w:hAnsi="Calibri" w:cs="Calibri"/>
          <w:b/>
          <w:bCs/>
          <w:color w:val="201F1E"/>
          <w:u w:val="single"/>
          <w:lang w:eastAsia="es-ES_tradnl"/>
        </w:rPr>
        <w:t>AL CONSEJO GENERAL DEL PODER JUDICIAL</w:t>
      </w:r>
    </w:p>
    <w:p w:rsidR="009A2A2C" w:rsidRPr="00511E88" w:rsidRDefault="009A2A2C" w:rsidP="0056717A">
      <w:pPr>
        <w:shd w:val="clear" w:color="auto" w:fill="FFFFFF"/>
        <w:spacing w:before="100" w:beforeAutospacing="1" w:after="100" w:afterAutospacing="1"/>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 </w:t>
      </w:r>
      <w:r w:rsidR="0056717A" w:rsidRPr="00511E88">
        <w:rPr>
          <w:rFonts w:ascii="Calibri" w:eastAsia="Times New Roman" w:hAnsi="Calibri" w:cs="Calibri"/>
          <w:color w:val="201F1E"/>
          <w:lang w:eastAsia="es-ES_tradnl"/>
        </w:rPr>
        <w:tab/>
      </w:r>
      <w:r w:rsidRPr="00511E88">
        <w:rPr>
          <w:rFonts w:ascii="Calibri" w:eastAsia="Times New Roman" w:hAnsi="Calibri" w:cs="Calibri"/>
          <w:color w:val="201F1E"/>
          <w:lang w:eastAsia="es-ES_tradnl"/>
        </w:rPr>
        <w:t xml:space="preserve">Por esta </w:t>
      </w:r>
      <w:r w:rsidR="0056717A" w:rsidRPr="00511E88">
        <w:rPr>
          <w:rFonts w:ascii="Calibri" w:eastAsia="Times New Roman" w:hAnsi="Calibri" w:cs="Calibri"/>
          <w:color w:val="201F1E"/>
          <w:lang w:eastAsia="es-ES_tradnl"/>
        </w:rPr>
        <w:t>Asociación</w:t>
      </w:r>
      <w:r w:rsidRPr="00511E88">
        <w:rPr>
          <w:rFonts w:ascii="Calibri" w:eastAsia="Times New Roman" w:hAnsi="Calibri" w:cs="Calibri"/>
          <w:color w:val="201F1E"/>
          <w:lang w:eastAsia="es-ES_tradnl"/>
        </w:rPr>
        <w:t xml:space="preserve"> se advierte que se desconocen las medidas a adoptar por la Escuela Judicial </w:t>
      </w:r>
      <w:r w:rsidR="0056717A" w:rsidRPr="00511E88">
        <w:rPr>
          <w:rFonts w:ascii="Calibri" w:eastAsia="Times New Roman" w:hAnsi="Calibri" w:cs="Calibri"/>
          <w:color w:val="201F1E"/>
          <w:lang w:eastAsia="es-ES_tradnl"/>
        </w:rPr>
        <w:t>para</w:t>
      </w:r>
      <w:r w:rsidRPr="00511E88">
        <w:rPr>
          <w:rFonts w:ascii="Calibri" w:eastAsia="Times New Roman" w:hAnsi="Calibri" w:cs="Calibri"/>
          <w:color w:val="201F1E"/>
          <w:lang w:eastAsia="es-ES_tradnl"/>
        </w:rPr>
        <w:t xml:space="preserve"> adaptar el plan docente a aquellas alumnas que quedan embarazadas, con lo que el hecho de la maternidad puede afectar significativamente a su carrera profesional, teniendo quizás que repetir el curso o, en su caso, ver perjudicada su posición en el escalafón al tener que retrasar el acceso a la </w:t>
      </w:r>
      <w:r w:rsidR="0056717A" w:rsidRPr="00511E88">
        <w:rPr>
          <w:rFonts w:ascii="Calibri" w:eastAsia="Times New Roman" w:hAnsi="Calibri" w:cs="Calibri"/>
          <w:color w:val="201F1E"/>
          <w:lang w:eastAsia="es-ES_tradnl"/>
        </w:rPr>
        <w:t>Carrera Judicial</w:t>
      </w:r>
      <w:r w:rsidRPr="00511E88">
        <w:rPr>
          <w:rFonts w:ascii="Calibri" w:eastAsia="Times New Roman" w:hAnsi="Calibri" w:cs="Calibri"/>
          <w:color w:val="201F1E"/>
          <w:lang w:eastAsia="es-ES_tradnl"/>
        </w:rPr>
        <w:t>.</w:t>
      </w:r>
    </w:p>
    <w:p w:rsidR="009A2A2C" w:rsidRPr="00511E88" w:rsidRDefault="009A2A2C" w:rsidP="009A2A2C">
      <w:pPr>
        <w:shd w:val="clear" w:color="auto" w:fill="FFFFFF"/>
        <w:spacing w:before="100" w:beforeAutospacing="1" w:after="100" w:afterAutospacing="1"/>
        <w:ind w:firstLine="708"/>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 xml:space="preserve">Dicho lo anterior, </w:t>
      </w:r>
      <w:r w:rsidR="0056717A" w:rsidRPr="00511E88">
        <w:rPr>
          <w:rFonts w:ascii="Calibri" w:eastAsia="Times New Roman" w:hAnsi="Calibri" w:cs="Calibri"/>
          <w:color w:val="201F1E"/>
          <w:lang w:eastAsia="es-ES_tradnl"/>
        </w:rPr>
        <w:t>Francisco de Vitoria</w:t>
      </w:r>
      <w:r w:rsidRPr="00511E88">
        <w:rPr>
          <w:rFonts w:ascii="Calibri" w:eastAsia="Times New Roman" w:hAnsi="Calibri" w:cs="Calibri"/>
          <w:color w:val="201F1E"/>
          <w:lang w:eastAsia="es-ES_tradnl"/>
        </w:rPr>
        <w:t xml:space="preserve"> considera que el hecho de la maternidad no debe ser equiparado a los supuestos de enfermedad, siendo necesario que se establezcan medidas proactivas que permitan la protección de la madre, sin que el hecho mismo de la maternidad pueda significar perjuicio alguno en la carrera profesional de la Jueza en prácticas. No </w:t>
      </w:r>
      <w:proofErr w:type="gramStart"/>
      <w:r w:rsidRPr="00511E88">
        <w:rPr>
          <w:rFonts w:ascii="Calibri" w:eastAsia="Times New Roman" w:hAnsi="Calibri" w:cs="Calibri"/>
          <w:color w:val="201F1E"/>
          <w:lang w:eastAsia="es-ES_tradnl"/>
        </w:rPr>
        <w:t>obstante</w:t>
      </w:r>
      <w:proofErr w:type="gramEnd"/>
      <w:r w:rsidRPr="00511E88">
        <w:rPr>
          <w:rFonts w:ascii="Calibri" w:eastAsia="Times New Roman" w:hAnsi="Calibri" w:cs="Calibri"/>
          <w:color w:val="201F1E"/>
          <w:lang w:eastAsia="es-ES_tradnl"/>
        </w:rPr>
        <w:t xml:space="preserve"> lo anterior, se desconoce realmente el tratamiento que la Escuela Judicial viene dando a estos supuestos, teniendo conocimiento </w:t>
      </w:r>
      <w:r w:rsidR="0056717A" w:rsidRPr="00511E88">
        <w:rPr>
          <w:rFonts w:ascii="Calibri" w:eastAsia="Times New Roman" w:hAnsi="Calibri" w:cs="Calibri"/>
          <w:color w:val="201F1E"/>
          <w:lang w:eastAsia="es-ES_tradnl"/>
        </w:rPr>
        <w:t>de</w:t>
      </w:r>
      <w:r w:rsidRPr="00511E88">
        <w:rPr>
          <w:rFonts w:ascii="Calibri" w:eastAsia="Times New Roman" w:hAnsi="Calibri" w:cs="Calibri"/>
          <w:color w:val="201F1E"/>
          <w:lang w:eastAsia="es-ES_tradnl"/>
        </w:rPr>
        <w:t xml:space="preserve"> que las respuestas ante los diferentes casos no han sido siempre idénticas.</w:t>
      </w:r>
    </w:p>
    <w:p w:rsidR="009A2A2C" w:rsidRPr="00511E88" w:rsidRDefault="0056717A" w:rsidP="009A2A2C">
      <w:pPr>
        <w:shd w:val="clear" w:color="auto" w:fill="FFFFFF"/>
        <w:spacing w:before="100" w:beforeAutospacing="1" w:after="100" w:afterAutospacing="1"/>
        <w:ind w:firstLine="708"/>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Por todo ello, la Asociación Francisco de Vitoria</w:t>
      </w:r>
      <w:r w:rsidR="009A2A2C" w:rsidRPr="00511E88">
        <w:rPr>
          <w:rFonts w:ascii="Calibri" w:eastAsia="Times New Roman" w:hAnsi="Calibri" w:cs="Calibri"/>
          <w:color w:val="201F1E"/>
          <w:lang w:eastAsia="es-ES_tradnl"/>
        </w:rPr>
        <w:t xml:space="preserve"> </w:t>
      </w:r>
      <w:r w:rsidR="009A2A2C" w:rsidRPr="00511E88">
        <w:rPr>
          <w:rFonts w:ascii="Calibri" w:eastAsia="Times New Roman" w:hAnsi="Calibri" w:cs="Calibri"/>
          <w:b/>
          <w:bCs/>
          <w:color w:val="201F1E"/>
          <w:lang w:eastAsia="es-ES_tradnl"/>
        </w:rPr>
        <w:t xml:space="preserve">acuerda </w:t>
      </w:r>
      <w:r w:rsidRPr="00511E88">
        <w:rPr>
          <w:rFonts w:ascii="Calibri" w:eastAsia="Times New Roman" w:hAnsi="Calibri" w:cs="Calibri"/>
          <w:bCs/>
          <w:color w:val="201F1E"/>
          <w:lang w:eastAsia="es-ES_tradnl"/>
        </w:rPr>
        <w:t>consultar a la Escuela Judicial los siguientes extremos</w:t>
      </w:r>
      <w:r w:rsidR="009A2A2C" w:rsidRPr="00511E88">
        <w:rPr>
          <w:rFonts w:ascii="Calibri" w:eastAsia="Times New Roman" w:hAnsi="Calibri" w:cs="Calibri"/>
          <w:color w:val="201F1E"/>
          <w:lang w:eastAsia="es-ES_tradnl"/>
        </w:rPr>
        <w:t>:</w:t>
      </w:r>
    </w:p>
    <w:p w:rsidR="009A2A2C" w:rsidRPr="00511E88" w:rsidRDefault="009A2A2C" w:rsidP="0056717A">
      <w:pPr>
        <w:pStyle w:val="Prrafodelista"/>
        <w:numPr>
          <w:ilvl w:val="0"/>
          <w:numId w:val="2"/>
        </w:numPr>
        <w:shd w:val="clear" w:color="auto" w:fill="FFFFFF"/>
        <w:spacing w:before="100" w:beforeAutospacing="1" w:after="100" w:afterAutospacing="1"/>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Si existe una adaptación curricular para aquellas mujeres que deban ausentarse en todo o en parte del curso presencial de la Escuela Judicial de Barcelona como consecuencia de los permisos o bajas asociados al embarazo. </w:t>
      </w:r>
    </w:p>
    <w:p w:rsidR="0056717A" w:rsidRPr="00511E88" w:rsidRDefault="0056717A" w:rsidP="0056717A">
      <w:pPr>
        <w:pStyle w:val="Prrafodelista"/>
        <w:shd w:val="clear" w:color="auto" w:fill="FFFFFF"/>
        <w:spacing w:before="100" w:beforeAutospacing="1" w:after="100" w:afterAutospacing="1"/>
        <w:jc w:val="both"/>
        <w:rPr>
          <w:rFonts w:ascii="Calibri" w:eastAsia="Times New Roman" w:hAnsi="Calibri" w:cs="Calibri"/>
          <w:color w:val="201F1E"/>
          <w:lang w:eastAsia="es-ES_tradnl"/>
        </w:rPr>
      </w:pPr>
    </w:p>
    <w:p w:rsidR="0056717A" w:rsidRPr="00511E88" w:rsidRDefault="009A2A2C" w:rsidP="0056717A">
      <w:pPr>
        <w:pStyle w:val="Prrafodelista"/>
        <w:numPr>
          <w:ilvl w:val="0"/>
          <w:numId w:val="2"/>
        </w:numPr>
        <w:shd w:val="clear" w:color="auto" w:fill="FFFFFF"/>
        <w:spacing w:before="100" w:beforeAutospacing="1" w:after="100" w:afterAutospacing="1"/>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Si existe algún protocolo de actuación relativo a cómo las mismas podrían gestionar dicha situación durante la fase de prácticas tuteladas</w:t>
      </w:r>
      <w:r w:rsidR="0056717A" w:rsidRPr="00511E88">
        <w:rPr>
          <w:rFonts w:ascii="Calibri" w:eastAsia="Times New Roman" w:hAnsi="Calibri" w:cs="Calibri"/>
          <w:color w:val="201F1E"/>
          <w:lang w:eastAsia="es-ES_tradnl"/>
        </w:rPr>
        <w:t xml:space="preserve"> y la fase de sustitución y refuerzo.</w:t>
      </w:r>
    </w:p>
    <w:p w:rsidR="0056717A" w:rsidRPr="00511E88" w:rsidRDefault="0056717A" w:rsidP="0056717A">
      <w:pPr>
        <w:pStyle w:val="Prrafodelista"/>
        <w:shd w:val="clear" w:color="auto" w:fill="FFFFFF"/>
        <w:spacing w:before="100" w:beforeAutospacing="1" w:after="100" w:afterAutospacing="1"/>
        <w:jc w:val="both"/>
        <w:rPr>
          <w:rFonts w:ascii="Calibri" w:eastAsia="Times New Roman" w:hAnsi="Calibri" w:cs="Calibri"/>
          <w:color w:val="201F1E"/>
          <w:lang w:eastAsia="es-ES_tradnl"/>
        </w:rPr>
      </w:pPr>
    </w:p>
    <w:p w:rsidR="009A2A2C" w:rsidRPr="00511E88" w:rsidRDefault="009A2A2C" w:rsidP="0056717A">
      <w:pPr>
        <w:pStyle w:val="Prrafodelista"/>
        <w:numPr>
          <w:ilvl w:val="0"/>
          <w:numId w:val="2"/>
        </w:numPr>
        <w:shd w:val="clear" w:color="auto" w:fill="FFFFFF"/>
        <w:spacing w:before="100" w:beforeAutospacing="1" w:after="100" w:afterAutospacing="1"/>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 xml:space="preserve">Para el caso de que la solución ofrecida por la Escuela Judicial sea repetir </w:t>
      </w:r>
      <w:r w:rsidR="0056717A" w:rsidRPr="00511E88">
        <w:rPr>
          <w:rFonts w:ascii="Calibri" w:eastAsia="Times New Roman" w:hAnsi="Calibri" w:cs="Calibri"/>
          <w:color w:val="201F1E"/>
          <w:lang w:eastAsia="es-ES_tradnl"/>
        </w:rPr>
        <w:t>alguna de estas fases</w:t>
      </w:r>
      <w:r w:rsidRPr="00511E88">
        <w:rPr>
          <w:rFonts w:ascii="Calibri" w:eastAsia="Times New Roman" w:hAnsi="Calibri" w:cs="Calibri"/>
          <w:color w:val="201F1E"/>
          <w:lang w:eastAsia="es-ES_tradnl"/>
        </w:rPr>
        <w:t xml:space="preserve">, </w:t>
      </w:r>
      <w:r w:rsidR="0056717A" w:rsidRPr="00511E88">
        <w:rPr>
          <w:rFonts w:ascii="Calibri" w:eastAsia="Times New Roman" w:hAnsi="Calibri" w:cs="Calibri"/>
          <w:color w:val="201F1E"/>
          <w:lang w:eastAsia="es-ES_tradnl"/>
        </w:rPr>
        <w:t>solicitamos que</w:t>
      </w:r>
      <w:r w:rsidRPr="00511E88">
        <w:rPr>
          <w:rFonts w:ascii="Calibri" w:eastAsia="Times New Roman" w:hAnsi="Calibri" w:cs="Calibri"/>
          <w:color w:val="201F1E"/>
          <w:lang w:eastAsia="es-ES_tradnl"/>
        </w:rPr>
        <w:t xml:space="preserve"> </w:t>
      </w:r>
      <w:r w:rsidR="0056717A" w:rsidRPr="00511E88">
        <w:rPr>
          <w:rFonts w:ascii="Calibri" w:eastAsia="Times New Roman" w:hAnsi="Calibri" w:cs="Calibri"/>
          <w:color w:val="201F1E"/>
          <w:lang w:eastAsia="es-ES_tradnl"/>
        </w:rPr>
        <w:t xml:space="preserve">se nos aclare </w:t>
      </w:r>
      <w:r w:rsidRPr="00511E88">
        <w:rPr>
          <w:rFonts w:ascii="Calibri" w:eastAsia="Times New Roman" w:hAnsi="Calibri" w:cs="Calibri"/>
          <w:color w:val="201F1E"/>
          <w:lang w:eastAsia="es-ES_tradnl"/>
        </w:rPr>
        <w:t>cómo afectaría dicha contingencia a la posición en el escalafón de la jueza afectada.</w:t>
      </w:r>
    </w:p>
    <w:p w:rsidR="0056717A" w:rsidRPr="00511E88" w:rsidRDefault="0056717A" w:rsidP="0056717A">
      <w:pPr>
        <w:pStyle w:val="Prrafodelista"/>
        <w:shd w:val="clear" w:color="auto" w:fill="FFFFFF"/>
        <w:spacing w:before="100" w:beforeAutospacing="1" w:after="100" w:afterAutospacing="1"/>
        <w:jc w:val="both"/>
        <w:rPr>
          <w:rFonts w:ascii="Calibri" w:eastAsia="Times New Roman" w:hAnsi="Calibri" w:cs="Calibri"/>
          <w:color w:val="201F1E"/>
          <w:lang w:eastAsia="es-ES_tradnl"/>
        </w:rPr>
      </w:pPr>
    </w:p>
    <w:p w:rsidR="00834F8A" w:rsidRPr="00511E88" w:rsidRDefault="0056717A" w:rsidP="0056717A">
      <w:pPr>
        <w:pStyle w:val="Prrafodelista"/>
        <w:numPr>
          <w:ilvl w:val="0"/>
          <w:numId w:val="2"/>
        </w:numPr>
        <w:shd w:val="clear" w:color="auto" w:fill="FFFFFF"/>
        <w:spacing w:before="100" w:beforeAutospacing="1" w:after="100" w:afterAutospacing="1"/>
        <w:jc w:val="both"/>
        <w:rPr>
          <w:rFonts w:ascii="Calibri" w:eastAsia="Times New Roman" w:hAnsi="Calibri" w:cs="Calibri"/>
          <w:color w:val="201F1E"/>
          <w:lang w:eastAsia="es-ES_tradnl"/>
        </w:rPr>
      </w:pPr>
      <w:r w:rsidRPr="00511E88">
        <w:rPr>
          <w:rFonts w:ascii="Calibri" w:eastAsia="Times New Roman" w:hAnsi="Calibri" w:cs="Calibri"/>
          <w:color w:val="201F1E"/>
          <w:lang w:eastAsia="es-ES_tradnl"/>
        </w:rPr>
        <w:t xml:space="preserve">Formulamos las mismas consultas respecto del juez en prácticas que se beneficie del permiso de paternidad durante la Escuela Judicial de Barcelona, las prácticas tuteladas, o la fase de sustitución y refuerzo. </w:t>
      </w:r>
    </w:p>
    <w:p w:rsidR="0056717A" w:rsidRPr="00511E88" w:rsidRDefault="0056717A" w:rsidP="0056717A">
      <w:pPr>
        <w:shd w:val="clear" w:color="auto" w:fill="FFFFFF"/>
        <w:spacing w:before="100" w:beforeAutospacing="1" w:after="100" w:afterAutospacing="1"/>
        <w:jc w:val="both"/>
        <w:rPr>
          <w:rFonts w:ascii="Calibri" w:eastAsia="Times New Roman" w:hAnsi="Calibri" w:cs="Calibri"/>
          <w:color w:val="201F1E"/>
          <w:lang w:eastAsia="es-ES_tradnl"/>
        </w:rPr>
      </w:pPr>
    </w:p>
    <w:p w:rsidR="006A31BE" w:rsidRPr="00511E88" w:rsidRDefault="0056717A" w:rsidP="0037107B">
      <w:pPr>
        <w:shd w:val="clear" w:color="auto" w:fill="FFFFFF"/>
        <w:spacing w:before="100" w:beforeAutospacing="1" w:after="100" w:afterAutospacing="1"/>
        <w:ind w:left="360" w:firstLine="348"/>
        <w:rPr>
          <w:rFonts w:ascii="Calibri" w:hAnsi="Calibri" w:cs="Calibri"/>
        </w:rPr>
      </w:pPr>
      <w:r w:rsidRPr="00511E88">
        <w:rPr>
          <w:rFonts w:ascii="Calibri" w:eastAsia="Times New Roman" w:hAnsi="Calibri" w:cs="Calibri"/>
          <w:color w:val="201F1E"/>
          <w:lang w:eastAsia="es-ES_tradnl"/>
        </w:rPr>
        <w:t>COMITÉ NACIONAL</w:t>
      </w:r>
      <w:bookmarkStart w:id="0" w:name="_GoBack"/>
      <w:bookmarkEnd w:id="0"/>
    </w:p>
    <w:sectPr w:rsidR="006A31BE" w:rsidRPr="00511E88" w:rsidSect="001A6C9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2E3"/>
    <w:multiLevelType w:val="hybridMultilevel"/>
    <w:tmpl w:val="19A2A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36C02F2"/>
    <w:multiLevelType w:val="hybridMultilevel"/>
    <w:tmpl w:val="3FC4BE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2C"/>
    <w:rsid w:val="001A6C98"/>
    <w:rsid w:val="0037107B"/>
    <w:rsid w:val="00511E88"/>
    <w:rsid w:val="0056717A"/>
    <w:rsid w:val="00834F8A"/>
    <w:rsid w:val="009A2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3165-337F-3B46-BF43-86E7B962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9A2A2C"/>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567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Alamo</dc:creator>
  <cp:keywords/>
  <dc:description/>
  <cp:lastModifiedBy>Carlos Gustavo de la Orden</cp:lastModifiedBy>
  <cp:revision>4</cp:revision>
  <dcterms:created xsi:type="dcterms:W3CDTF">2019-06-04T17:15:00Z</dcterms:created>
  <dcterms:modified xsi:type="dcterms:W3CDTF">2019-06-06T10:22:00Z</dcterms:modified>
</cp:coreProperties>
</file>