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AFFE9" w14:textId="77777777" w:rsidR="000112EC" w:rsidRPr="00280F34" w:rsidRDefault="000112EC">
      <w:pPr>
        <w:rPr>
          <w:rFonts w:ascii="Bookman Old Style" w:hAnsi="Bookman Old Style"/>
          <w:sz w:val="22"/>
          <w:szCs w:val="22"/>
          <w:lang w:val="es-ES"/>
        </w:rPr>
      </w:pPr>
      <w:r w:rsidRPr="00280F34">
        <w:rPr>
          <w:rFonts w:ascii="Bookman Old Style" w:hAnsi="Bookman Old Style"/>
          <w:noProof/>
          <w:sz w:val="22"/>
          <w:szCs w:val="22"/>
          <w:lang w:val="es-ES" w:eastAsia="es-ES"/>
        </w:rPr>
        <w:drawing>
          <wp:inline distT="0" distB="0" distL="0" distR="0" wp14:anchorId="41E163E4" wp14:editId="7EC1E735">
            <wp:extent cx="5396230" cy="7277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ete log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4578" w14:textId="77777777" w:rsidR="000112EC" w:rsidRPr="00280F34" w:rsidRDefault="000112EC">
      <w:pPr>
        <w:rPr>
          <w:rFonts w:ascii="Bookman Old Style" w:hAnsi="Bookman Old Style"/>
          <w:sz w:val="22"/>
          <w:szCs w:val="22"/>
          <w:lang w:val="es-ES"/>
        </w:rPr>
      </w:pPr>
    </w:p>
    <w:p w14:paraId="5A94E1A0" w14:textId="2ACA3F06" w:rsidR="00227946" w:rsidRPr="007B004C" w:rsidRDefault="007B004C" w:rsidP="007B004C">
      <w:pPr>
        <w:jc w:val="center"/>
        <w:rPr>
          <w:rFonts w:ascii="Bookman Old Style" w:hAnsi="Bookman Old Style"/>
          <w:b/>
          <w:u w:val="single"/>
          <w:lang w:val="es-ES"/>
        </w:rPr>
      </w:pPr>
      <w:r>
        <w:rPr>
          <w:rFonts w:ascii="Bookman Old Style" w:hAnsi="Bookman Old Style"/>
          <w:b/>
          <w:u w:val="single"/>
          <w:lang w:val="es-ES"/>
        </w:rPr>
        <w:t>PROPUESTAS CONCRETAS QUE LAS ASOCIACIONES JUDICIALES Y FISCALES PRESENTAN AL GOBIERNO ANTE LAS PRÓXIMAS MOVILIZACIONES DE LAS CARRERAS JUDICIAL Y FISCAL</w:t>
      </w:r>
    </w:p>
    <w:p w14:paraId="32BFD7B7" w14:textId="77777777" w:rsidR="002C1C05" w:rsidRPr="007B004C" w:rsidRDefault="002C1C05" w:rsidP="007B004C">
      <w:pPr>
        <w:jc w:val="both"/>
        <w:rPr>
          <w:rFonts w:ascii="Bookman Old Style" w:hAnsi="Bookman Old Style"/>
          <w:b/>
          <w:u w:val="single"/>
          <w:lang w:val="es-ES"/>
        </w:rPr>
      </w:pPr>
    </w:p>
    <w:p w14:paraId="3D7A49CC" w14:textId="6C6E923A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br/>
        <w:t xml:space="preserve">Las siete asociaciones judiciales y de fiscales presentamos una serie de propuestas </w:t>
      </w:r>
      <w:r>
        <w:rPr>
          <w:rFonts w:ascii="Bookman Old Style" w:hAnsi="Bookman Old Style"/>
        </w:rPr>
        <w:t>concretas dirigidas al Gobierno:</w:t>
      </w:r>
    </w:p>
    <w:p w14:paraId="32F1A4BC" w14:textId="77777777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br/>
      </w:r>
      <w:r w:rsidRPr="007B004C">
        <w:rPr>
          <w:rFonts w:ascii="Bookman Old Style" w:hAnsi="Bookman Old Style"/>
        </w:rPr>
        <w:br/>
        <w:t xml:space="preserve">•       Desarrollo reglamentario del art. 437.2 en órganos judiciales sobrecargados, </w:t>
      </w:r>
      <w:r w:rsidRPr="007B004C">
        <w:rPr>
          <w:rFonts w:ascii="Bookman Old Style" w:hAnsi="Bookman Old Style"/>
          <w:b/>
        </w:rPr>
        <w:t>asignándoles dos jueces/zas de manera permanente</w:t>
      </w:r>
      <w:r w:rsidRPr="007B004C">
        <w:rPr>
          <w:rFonts w:ascii="Bookman Old Style" w:hAnsi="Bookman Old Style"/>
        </w:rPr>
        <w:t xml:space="preserve">, con el </w:t>
      </w:r>
      <w:r w:rsidRPr="007B004C">
        <w:rPr>
          <w:rFonts w:ascii="Bookman Old Style" w:hAnsi="Bookman Old Style"/>
          <w:b/>
        </w:rPr>
        <w:t>correlativo aumento de plazas de fiscales</w:t>
      </w:r>
      <w:r w:rsidRPr="007B004C">
        <w:rPr>
          <w:rFonts w:ascii="Bookman Old Style" w:hAnsi="Bookman Old Style"/>
        </w:rPr>
        <w:t xml:space="preserve"> en las mismas condiciones</w:t>
      </w:r>
      <w:r>
        <w:rPr>
          <w:rFonts w:ascii="Bookman Old Style" w:hAnsi="Bookman Old Style"/>
        </w:rPr>
        <w:t>.</w:t>
      </w:r>
    </w:p>
    <w:p w14:paraId="730B6A8A" w14:textId="77777777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br/>
        <w:t xml:space="preserve">•       </w:t>
      </w:r>
      <w:r w:rsidRPr="007B004C">
        <w:rPr>
          <w:rFonts w:ascii="Bookman Old Style" w:hAnsi="Bookman Old Style"/>
          <w:b/>
        </w:rPr>
        <w:t>Derogación urgente del artículo 324 de la Ley de Enjuiciamiento Criminal</w:t>
      </w:r>
      <w:r w:rsidRPr="007B004C">
        <w:rPr>
          <w:rFonts w:ascii="Bookman Old Style" w:hAnsi="Bookman Old Style"/>
        </w:rPr>
        <w:t>, recurriendo al Real decreto ley si es necesario, evitando casos de impunidad en casos de corrupción como los de Murcia y Granada.</w:t>
      </w:r>
    </w:p>
    <w:p w14:paraId="40B81EE2" w14:textId="77777777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br/>
        <w:t xml:space="preserve">•       </w:t>
      </w:r>
      <w:r w:rsidRPr="007B004C">
        <w:rPr>
          <w:rFonts w:ascii="Bookman Old Style" w:hAnsi="Bookman Old Style"/>
          <w:b/>
        </w:rPr>
        <w:t>Paralización de la “Justicia Digital”</w:t>
      </w:r>
      <w:r w:rsidRPr="007B004C">
        <w:rPr>
          <w:rFonts w:ascii="Bookman Old Style" w:hAnsi="Bookman Old Style"/>
        </w:rPr>
        <w:t>, replanteo de su implantación, aplicaciones y solución de problemas de la herramienta informática.</w:t>
      </w:r>
    </w:p>
    <w:p w14:paraId="1D5555C1" w14:textId="77777777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br/>
      </w:r>
      <w:r w:rsidRPr="007B004C">
        <w:rPr>
          <w:rFonts w:ascii="Bookman Old Style" w:hAnsi="Bookman Old Style"/>
          <w:b/>
        </w:rPr>
        <w:t>•       Convocatoria de 300 plazas en las carreras judicial y fiscal</w:t>
      </w:r>
      <w:r w:rsidRPr="007B004C">
        <w:rPr>
          <w:rFonts w:ascii="Bookman Old Style" w:hAnsi="Bookman Old Style"/>
        </w:rPr>
        <w:t>.</w:t>
      </w:r>
    </w:p>
    <w:p w14:paraId="57E89931" w14:textId="6CB9894F" w:rsidR="007B004C" w:rsidRDefault="007B004C" w:rsidP="007B004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  <w:t xml:space="preserve">•       Efectivo </w:t>
      </w:r>
      <w:r w:rsidRPr="007B004C">
        <w:rPr>
          <w:rFonts w:ascii="Bookman Old Style" w:hAnsi="Bookman Old Style"/>
          <w:b/>
        </w:rPr>
        <w:t>incremento de unidades judiciales (75)</w:t>
      </w:r>
      <w:r w:rsidRPr="007B004C">
        <w:rPr>
          <w:rFonts w:ascii="Bookman Old Style" w:hAnsi="Bookman Old Style"/>
        </w:rPr>
        <w:t xml:space="preserve"> y </w:t>
      </w:r>
      <w:proofErr w:type="gramStart"/>
      <w:r w:rsidRPr="007B004C">
        <w:rPr>
          <w:rFonts w:ascii="Bookman Old Style" w:hAnsi="Bookman Old Style"/>
        </w:rPr>
        <w:t xml:space="preserve">de la </w:t>
      </w:r>
      <w:r w:rsidRPr="007B004C">
        <w:rPr>
          <w:rFonts w:ascii="Bookman Old Style" w:hAnsi="Bookman Old Style"/>
          <w:b/>
        </w:rPr>
        <w:t>plantilla de fiscales</w:t>
      </w:r>
      <w:r w:rsidRPr="007B004C">
        <w:rPr>
          <w:rFonts w:ascii="Bookman Old Style" w:hAnsi="Bookman Old Style"/>
        </w:rPr>
        <w:t xml:space="preserve"> (80) </w:t>
      </w:r>
      <w:r>
        <w:rPr>
          <w:rFonts w:ascii="Bookman Old Style" w:hAnsi="Bookman Old Style"/>
        </w:rPr>
        <w:t>previsto</w:t>
      </w:r>
      <w:proofErr w:type="gramEnd"/>
      <w:r>
        <w:rPr>
          <w:rFonts w:ascii="Bookman Old Style" w:hAnsi="Bookman Old Style"/>
        </w:rPr>
        <w:t xml:space="preserve"> en</w:t>
      </w:r>
      <w:r w:rsidRPr="007B004C">
        <w:rPr>
          <w:rFonts w:ascii="Bookman Old Style" w:hAnsi="Bookman Old Style"/>
        </w:rPr>
        <w:t xml:space="preserve"> el ejercicio presupuestario del año pasado.</w:t>
      </w:r>
    </w:p>
    <w:p w14:paraId="1B719FC9" w14:textId="5D8345AC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br/>
        <w:t xml:space="preserve">•       </w:t>
      </w:r>
      <w:r w:rsidRPr="007B004C">
        <w:rPr>
          <w:rFonts w:ascii="Bookman Old Style" w:hAnsi="Bookman Old Style"/>
          <w:b/>
        </w:rPr>
        <w:t>Retribución de las guardias</w:t>
      </w:r>
      <w:r w:rsidRPr="007B004C">
        <w:rPr>
          <w:rFonts w:ascii="Bookman Old Style" w:hAnsi="Bookman Old Style"/>
        </w:rPr>
        <w:t xml:space="preserve"> conforme a la </w:t>
      </w:r>
      <w:bookmarkStart w:id="0" w:name="_GoBack"/>
      <w:bookmarkEnd w:id="0"/>
      <w:r w:rsidRPr="007B004C">
        <w:rPr>
          <w:rFonts w:ascii="Bookman Old Style" w:hAnsi="Bookman Old Style"/>
          <w:b/>
        </w:rPr>
        <w:t>responsabilidad del cargo</w:t>
      </w:r>
      <w:r w:rsidRPr="007B004C">
        <w:rPr>
          <w:rFonts w:ascii="Bookman Old Style" w:hAnsi="Bookman Old Style"/>
        </w:rPr>
        <w:t>, modificando para ello la Orden PRE/1416/2003, de 3 de junio, por la que se regula las retribuciones complementarias por servicios de guardia de las carreras judicial y fiscal.</w:t>
      </w:r>
    </w:p>
    <w:p w14:paraId="02CBBC3F" w14:textId="77777777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br/>
        <w:t xml:space="preserve">•       </w:t>
      </w:r>
      <w:r w:rsidRPr="007B004C">
        <w:rPr>
          <w:rFonts w:ascii="Bookman Old Style" w:hAnsi="Bookman Old Style"/>
          <w:b/>
        </w:rPr>
        <w:t>Retribución de las sustituciones de manera completa</w:t>
      </w:r>
      <w:r w:rsidRPr="007B004C">
        <w:rPr>
          <w:rFonts w:ascii="Bookman Old Style" w:hAnsi="Bookman Old Style"/>
        </w:rPr>
        <w:t>, conforme al Real Decreto 431/2004, de 12 de marzo.</w:t>
      </w:r>
    </w:p>
    <w:p w14:paraId="5A2CBF22" w14:textId="77777777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br/>
      </w:r>
      <w:r w:rsidRPr="007B004C">
        <w:rPr>
          <w:rFonts w:ascii="Bookman Old Style" w:hAnsi="Bookman Old Style"/>
          <w:b/>
        </w:rPr>
        <w:t>•       Desarrollo del complemento de carrera profesional</w:t>
      </w:r>
      <w:r w:rsidRPr="007B004C">
        <w:rPr>
          <w:rFonts w:ascii="Bookman Old Style" w:hAnsi="Bookman Old Style"/>
        </w:rPr>
        <w:t xml:space="preserve">, introducido en la reciente reforma de la </w:t>
      </w:r>
      <w:proofErr w:type="spellStart"/>
      <w:r w:rsidRPr="007B004C">
        <w:rPr>
          <w:rFonts w:ascii="Bookman Old Style" w:hAnsi="Bookman Old Style"/>
        </w:rPr>
        <w:t>LOPJ</w:t>
      </w:r>
      <w:proofErr w:type="spellEnd"/>
      <w:r w:rsidRPr="007B004C">
        <w:rPr>
          <w:rFonts w:ascii="Bookman Old Style" w:hAnsi="Bookman Old Style"/>
        </w:rPr>
        <w:t xml:space="preserve"> (art. 403.2), para fijar sus criterios, requisitos y cuantías de este nuevo concepto retributivo.</w:t>
      </w:r>
    </w:p>
    <w:p w14:paraId="3DF51737" w14:textId="77777777" w:rsidR="007B004C" w:rsidRDefault="007B004C" w:rsidP="007B004C">
      <w:pPr>
        <w:jc w:val="both"/>
        <w:rPr>
          <w:rFonts w:ascii="Bookman Old Style" w:hAnsi="Bookman Old Style"/>
        </w:rPr>
      </w:pPr>
    </w:p>
    <w:p w14:paraId="7E885D3D" w14:textId="77777777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t xml:space="preserve">•       </w:t>
      </w:r>
      <w:r w:rsidRPr="007B004C">
        <w:rPr>
          <w:rFonts w:ascii="Bookman Old Style" w:hAnsi="Bookman Old Style"/>
          <w:b/>
        </w:rPr>
        <w:t>Recuperación del exceso de bajada retributiva</w:t>
      </w:r>
      <w:r w:rsidRPr="007B004C">
        <w:rPr>
          <w:rFonts w:ascii="Bookman Old Style" w:hAnsi="Bookman Old Style"/>
        </w:rPr>
        <w:t xml:space="preserve"> sufrido injustificadamente por las carreras fiscal y judicial con relación a la media de bajada que sufrió la función pública, aceptando un plan progresivo en este ejercicio y en los inmediatamente siguientes.</w:t>
      </w:r>
    </w:p>
    <w:p w14:paraId="2EC713A8" w14:textId="77777777" w:rsidR="007B004C" w:rsidRDefault="007B004C" w:rsidP="007B004C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lastRenderedPageBreak/>
        <w:br/>
        <w:t xml:space="preserve">•       </w:t>
      </w:r>
      <w:r w:rsidRPr="007B004C">
        <w:rPr>
          <w:rFonts w:ascii="Bookman Old Style" w:hAnsi="Bookman Old Style"/>
          <w:b/>
        </w:rPr>
        <w:t xml:space="preserve">Inclusión de la partida de 7.000.000 € en el capítulo I de los </w:t>
      </w:r>
      <w:proofErr w:type="spellStart"/>
      <w:r w:rsidRPr="007B004C">
        <w:rPr>
          <w:rFonts w:ascii="Bookman Old Style" w:hAnsi="Bookman Old Style"/>
          <w:b/>
        </w:rPr>
        <w:t>PGE</w:t>
      </w:r>
      <w:proofErr w:type="spellEnd"/>
      <w:r w:rsidRPr="007B004C">
        <w:rPr>
          <w:rFonts w:ascii="Bookman Old Style" w:hAnsi="Bookman Old Style"/>
        </w:rPr>
        <w:t xml:space="preserve"> o, en su caso, la autorización del Ministerio de Hacienda, para su reparto entre las carreras judicial y fiscal. </w:t>
      </w:r>
    </w:p>
    <w:p w14:paraId="0965252F" w14:textId="77777777" w:rsidR="007B004C" w:rsidRPr="007B004C" w:rsidRDefault="007B004C" w:rsidP="007B004C">
      <w:pPr>
        <w:jc w:val="both"/>
        <w:rPr>
          <w:rFonts w:ascii="Bookman Old Style" w:hAnsi="Bookman Old Style"/>
          <w:b/>
        </w:rPr>
      </w:pPr>
      <w:r w:rsidRPr="007B004C">
        <w:rPr>
          <w:rFonts w:ascii="Bookman Old Style" w:hAnsi="Bookman Old Style"/>
        </w:rPr>
        <w:br/>
        <w:t xml:space="preserve">•       </w:t>
      </w:r>
      <w:r w:rsidRPr="007B004C">
        <w:rPr>
          <w:rFonts w:ascii="Bookman Old Style" w:hAnsi="Bookman Old Style"/>
          <w:b/>
        </w:rPr>
        <w:t xml:space="preserve">Derogación urgente de la nueva redacción de los artículos 307, 326 y 347 bis </w:t>
      </w:r>
      <w:proofErr w:type="spellStart"/>
      <w:r w:rsidRPr="007B004C">
        <w:rPr>
          <w:rFonts w:ascii="Bookman Old Style" w:hAnsi="Bookman Old Style"/>
          <w:b/>
        </w:rPr>
        <w:t>LOPJ</w:t>
      </w:r>
      <w:proofErr w:type="spellEnd"/>
      <w:r w:rsidRPr="007B004C">
        <w:rPr>
          <w:rFonts w:ascii="Bookman Old Style" w:hAnsi="Bookman Old Style"/>
          <w:b/>
        </w:rPr>
        <w:t xml:space="preserve">, operada por la LO 4/2018 de 28 de diciembre, para volver a la anterior redacción. </w:t>
      </w:r>
    </w:p>
    <w:p w14:paraId="5ED2E2DF" w14:textId="085025E4" w:rsidR="007E68B1" w:rsidRPr="007B004C" w:rsidRDefault="007B004C" w:rsidP="007B004C">
      <w:pPr>
        <w:jc w:val="both"/>
        <w:rPr>
          <w:rFonts w:ascii="Bookman Old Style" w:hAnsi="Bookman Old Style"/>
          <w:b/>
        </w:rPr>
      </w:pPr>
      <w:r w:rsidRPr="007B004C">
        <w:rPr>
          <w:rFonts w:ascii="Bookman Old Style" w:hAnsi="Bookman Old Style"/>
        </w:rPr>
        <w:br/>
        <w:t xml:space="preserve">Estas propuestas </w:t>
      </w:r>
      <w:r w:rsidRPr="007B004C">
        <w:rPr>
          <w:rFonts w:ascii="Bookman Old Style" w:hAnsi="Bookman Old Style"/>
          <w:u w:val="single"/>
        </w:rPr>
        <w:t>en ningún caso implican una renuncia a las dieciocho propuestas suscritas por las cuatro asociaciones judiciales y las tres de fiscales.</w:t>
      </w:r>
      <w:r w:rsidRPr="007B004C">
        <w:rPr>
          <w:rFonts w:ascii="Bookman Old Style" w:hAnsi="Bookman Old Style"/>
          <w:u w:val="single"/>
        </w:rPr>
        <w:br/>
      </w:r>
      <w:r w:rsidRPr="007B004C">
        <w:rPr>
          <w:rFonts w:ascii="Bookman Old Style" w:hAnsi="Bookman Old Style"/>
        </w:rPr>
        <w:br/>
      </w:r>
      <w:r w:rsidRPr="007B004C">
        <w:rPr>
          <w:rFonts w:ascii="Bookman Old Style" w:hAnsi="Bookman Old Style"/>
          <w:b/>
        </w:rPr>
        <w:t>Del cumplimiento de estas propuestas dependerá el calendario de movilizaciones previsto para los próximos meses.</w:t>
      </w:r>
    </w:p>
    <w:p w14:paraId="05CA4215" w14:textId="77777777" w:rsidR="007B004C" w:rsidRPr="007B004C" w:rsidRDefault="007B004C" w:rsidP="007B004C">
      <w:pPr>
        <w:jc w:val="both"/>
        <w:rPr>
          <w:rFonts w:ascii="Bookman Old Style" w:hAnsi="Bookman Old Style"/>
        </w:rPr>
      </w:pPr>
    </w:p>
    <w:p w14:paraId="415E8CB8" w14:textId="67DF6569" w:rsidR="00882C14" w:rsidRPr="007B004C" w:rsidRDefault="00882C14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 xml:space="preserve">Madrid, </w:t>
      </w:r>
      <w:r w:rsidR="007E68B1" w:rsidRPr="007B004C">
        <w:rPr>
          <w:rFonts w:ascii="Bookman Old Style" w:hAnsi="Bookman Old Style" w:cs="Arial"/>
        </w:rPr>
        <w:t>2</w:t>
      </w:r>
      <w:r w:rsidR="007B004C">
        <w:rPr>
          <w:rFonts w:ascii="Bookman Old Style" w:hAnsi="Bookman Old Style" w:cs="Arial"/>
        </w:rPr>
        <w:t>8</w:t>
      </w:r>
      <w:r w:rsidR="007E68B1" w:rsidRPr="007B004C">
        <w:rPr>
          <w:rFonts w:ascii="Bookman Old Style" w:hAnsi="Bookman Old Style" w:cs="Arial"/>
        </w:rPr>
        <w:t xml:space="preserve"> de enero de 2019</w:t>
      </w:r>
    </w:p>
    <w:p w14:paraId="366942BE" w14:textId="77777777" w:rsidR="00812503" w:rsidRPr="007B004C" w:rsidRDefault="00812503" w:rsidP="007B004C">
      <w:pPr>
        <w:pStyle w:val="Default"/>
        <w:jc w:val="both"/>
        <w:rPr>
          <w:rFonts w:ascii="Bookman Old Style" w:hAnsi="Bookman Old Style" w:cs="Arial"/>
        </w:rPr>
      </w:pPr>
    </w:p>
    <w:p w14:paraId="4A6EDE95" w14:textId="1FDFE933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ASOCIACIÓN PROFESIONAL DE LA MAGISTRATURA</w:t>
      </w:r>
    </w:p>
    <w:p w14:paraId="01F49AB6" w14:textId="2743DE6B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ASOCIACIÓN JUDICIAL FRANCISCO DE VITORIA</w:t>
      </w:r>
    </w:p>
    <w:p w14:paraId="4DCC0760" w14:textId="64316E12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ASOCIACIÓN DE FISCALES</w:t>
      </w:r>
    </w:p>
    <w:p w14:paraId="5758A7EB" w14:textId="0C004183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JUEZAS Y JUECES PARA LA DEMOCRACIA</w:t>
      </w:r>
    </w:p>
    <w:p w14:paraId="05A7A8B8" w14:textId="664DCA21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UNIÓN PROGRESISTA DE FISCALES</w:t>
      </w:r>
    </w:p>
    <w:p w14:paraId="41E76D02" w14:textId="0FFD2185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FORO JUDICIAL INDEPENDIENTE</w:t>
      </w:r>
    </w:p>
    <w:p w14:paraId="00D0D96B" w14:textId="262A9A87" w:rsidR="00227946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ASOCIA</w:t>
      </w:r>
      <w:r w:rsidRPr="002D7820">
        <w:rPr>
          <w:rFonts w:ascii="Bookman Old Style" w:hAnsi="Bookman Old Style" w:cs="Arial"/>
        </w:rPr>
        <w:t>CIÓN PROFE</w:t>
      </w:r>
      <w:r w:rsidR="005E4ED3" w:rsidRPr="002D7820">
        <w:rPr>
          <w:rFonts w:ascii="Bookman Old Style" w:hAnsi="Bookman Old Style" w:cs="Arial"/>
        </w:rPr>
        <w:t>SIONAL INDEPENDIENTE DE FISCALES</w:t>
      </w:r>
    </w:p>
    <w:p w14:paraId="0AA75124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</w:rPr>
      </w:pPr>
    </w:p>
    <w:p w14:paraId="67DEAAC2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6449C58B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7D2C4301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26137194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52F90A1D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3705E216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77BF40E1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7F28DE3D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5DE2B694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4FE08567" w14:textId="0358270C" w:rsidR="00D95823" w:rsidRP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A LA MINISTRA DE JUSTICIA DEL REINO DE ESPAÑA. MINISTERIO DE JUSTICIA. C/ SAN BERNARDO, 45. 28071 MADRID.</w:t>
      </w:r>
    </w:p>
    <w:sectPr w:rsidR="00D95823" w:rsidRPr="00D95823" w:rsidSect="004A607C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F11F2" w14:textId="77777777" w:rsidR="00BB20FA" w:rsidRDefault="00BB20FA" w:rsidP="00F62F3C">
      <w:r>
        <w:separator/>
      </w:r>
    </w:p>
  </w:endnote>
  <w:endnote w:type="continuationSeparator" w:id="0">
    <w:p w14:paraId="2E14F932" w14:textId="77777777" w:rsidR="00BB20FA" w:rsidRDefault="00BB20FA" w:rsidP="00F6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4BB4C" w14:textId="77777777" w:rsidR="00F62F3C" w:rsidRDefault="00F62F3C" w:rsidP="00565E6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C2D291" w14:textId="77777777" w:rsidR="00F62F3C" w:rsidRDefault="00F62F3C" w:rsidP="00F62F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74E1" w14:textId="77777777" w:rsidR="00F62F3C" w:rsidRDefault="00F62F3C" w:rsidP="00565E6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582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5B44DE6" w14:textId="77777777" w:rsidR="00F62F3C" w:rsidRDefault="00F62F3C" w:rsidP="00F62F3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60C22" w14:textId="77777777" w:rsidR="00BB20FA" w:rsidRDefault="00BB20FA" w:rsidP="00F62F3C">
      <w:r>
        <w:separator/>
      </w:r>
    </w:p>
  </w:footnote>
  <w:footnote w:type="continuationSeparator" w:id="0">
    <w:p w14:paraId="6E6767BB" w14:textId="77777777" w:rsidR="00BB20FA" w:rsidRDefault="00BB20FA" w:rsidP="00F6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D0C"/>
    <w:multiLevelType w:val="hybridMultilevel"/>
    <w:tmpl w:val="58BED5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0FF7"/>
    <w:multiLevelType w:val="hybridMultilevel"/>
    <w:tmpl w:val="702A6A7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E5B9F"/>
    <w:multiLevelType w:val="hybridMultilevel"/>
    <w:tmpl w:val="4364C9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58D4"/>
    <w:multiLevelType w:val="hybridMultilevel"/>
    <w:tmpl w:val="1284D5D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C155E"/>
    <w:multiLevelType w:val="hybridMultilevel"/>
    <w:tmpl w:val="C5D40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4679"/>
    <w:multiLevelType w:val="hybridMultilevel"/>
    <w:tmpl w:val="01821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BCB"/>
    <w:multiLevelType w:val="hybridMultilevel"/>
    <w:tmpl w:val="C43A9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61BFC"/>
    <w:multiLevelType w:val="hybridMultilevel"/>
    <w:tmpl w:val="9C76D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EC"/>
    <w:rsid w:val="000112EC"/>
    <w:rsid w:val="000522AC"/>
    <w:rsid w:val="000540C6"/>
    <w:rsid w:val="000B5D06"/>
    <w:rsid w:val="000C6DCD"/>
    <w:rsid w:val="000D38DE"/>
    <w:rsid w:val="000E762E"/>
    <w:rsid w:val="00143D4E"/>
    <w:rsid w:val="001717E6"/>
    <w:rsid w:val="00184379"/>
    <w:rsid w:val="001871A8"/>
    <w:rsid w:val="001C63A0"/>
    <w:rsid w:val="001D0A03"/>
    <w:rsid w:val="001D14B3"/>
    <w:rsid w:val="001F2F89"/>
    <w:rsid w:val="00205864"/>
    <w:rsid w:val="002161EE"/>
    <w:rsid w:val="00224BAA"/>
    <w:rsid w:val="00227946"/>
    <w:rsid w:val="00234980"/>
    <w:rsid w:val="00243FD5"/>
    <w:rsid w:val="00280F34"/>
    <w:rsid w:val="002A3544"/>
    <w:rsid w:val="002C1C05"/>
    <w:rsid w:val="002D7820"/>
    <w:rsid w:val="002E77ED"/>
    <w:rsid w:val="003153CF"/>
    <w:rsid w:val="00355FD6"/>
    <w:rsid w:val="00393DDD"/>
    <w:rsid w:val="003A45D1"/>
    <w:rsid w:val="003B604C"/>
    <w:rsid w:val="003D1D7F"/>
    <w:rsid w:val="0042723E"/>
    <w:rsid w:val="00430570"/>
    <w:rsid w:val="00432514"/>
    <w:rsid w:val="0046356B"/>
    <w:rsid w:val="004A607C"/>
    <w:rsid w:val="0052215A"/>
    <w:rsid w:val="00525F39"/>
    <w:rsid w:val="005539B4"/>
    <w:rsid w:val="0057214C"/>
    <w:rsid w:val="005C3426"/>
    <w:rsid w:val="005E0339"/>
    <w:rsid w:val="005E4ED3"/>
    <w:rsid w:val="00614AC7"/>
    <w:rsid w:val="00614E4F"/>
    <w:rsid w:val="00627AED"/>
    <w:rsid w:val="00635E57"/>
    <w:rsid w:val="006407B7"/>
    <w:rsid w:val="00656838"/>
    <w:rsid w:val="0068725A"/>
    <w:rsid w:val="00696283"/>
    <w:rsid w:val="00696492"/>
    <w:rsid w:val="006A4315"/>
    <w:rsid w:val="006A6237"/>
    <w:rsid w:val="006B1CA0"/>
    <w:rsid w:val="006C2D27"/>
    <w:rsid w:val="006C5BD1"/>
    <w:rsid w:val="006E18C4"/>
    <w:rsid w:val="007410D3"/>
    <w:rsid w:val="00743A9E"/>
    <w:rsid w:val="00747F89"/>
    <w:rsid w:val="007553D7"/>
    <w:rsid w:val="007571D4"/>
    <w:rsid w:val="00784B5A"/>
    <w:rsid w:val="00792CF0"/>
    <w:rsid w:val="00797FD8"/>
    <w:rsid w:val="007B004C"/>
    <w:rsid w:val="007D1F52"/>
    <w:rsid w:val="007D6685"/>
    <w:rsid w:val="007E68B1"/>
    <w:rsid w:val="00812503"/>
    <w:rsid w:val="00823EBA"/>
    <w:rsid w:val="0082724F"/>
    <w:rsid w:val="00833568"/>
    <w:rsid w:val="008407E4"/>
    <w:rsid w:val="00840C4A"/>
    <w:rsid w:val="00851E5E"/>
    <w:rsid w:val="00856F4B"/>
    <w:rsid w:val="0086267D"/>
    <w:rsid w:val="00866E30"/>
    <w:rsid w:val="00882C14"/>
    <w:rsid w:val="008C3435"/>
    <w:rsid w:val="008E5723"/>
    <w:rsid w:val="00931812"/>
    <w:rsid w:val="00931CE6"/>
    <w:rsid w:val="00982633"/>
    <w:rsid w:val="009F7114"/>
    <w:rsid w:val="00A134B1"/>
    <w:rsid w:val="00A16457"/>
    <w:rsid w:val="00A25900"/>
    <w:rsid w:val="00A264AD"/>
    <w:rsid w:val="00A64B31"/>
    <w:rsid w:val="00A87559"/>
    <w:rsid w:val="00AD6421"/>
    <w:rsid w:val="00B36794"/>
    <w:rsid w:val="00B6424C"/>
    <w:rsid w:val="00B95790"/>
    <w:rsid w:val="00BB20FA"/>
    <w:rsid w:val="00BB2EFD"/>
    <w:rsid w:val="00BE65A3"/>
    <w:rsid w:val="00BF0723"/>
    <w:rsid w:val="00C04231"/>
    <w:rsid w:val="00C16670"/>
    <w:rsid w:val="00C2059D"/>
    <w:rsid w:val="00C7471F"/>
    <w:rsid w:val="00C8411E"/>
    <w:rsid w:val="00CE0616"/>
    <w:rsid w:val="00CE3E52"/>
    <w:rsid w:val="00CF2B1E"/>
    <w:rsid w:val="00D1191C"/>
    <w:rsid w:val="00D35880"/>
    <w:rsid w:val="00D57003"/>
    <w:rsid w:val="00D94AA2"/>
    <w:rsid w:val="00D95823"/>
    <w:rsid w:val="00DA3A0B"/>
    <w:rsid w:val="00DA4F0A"/>
    <w:rsid w:val="00DD1494"/>
    <w:rsid w:val="00DD4F45"/>
    <w:rsid w:val="00DE33CC"/>
    <w:rsid w:val="00DE7013"/>
    <w:rsid w:val="00DE7C5E"/>
    <w:rsid w:val="00E01EDD"/>
    <w:rsid w:val="00EB260F"/>
    <w:rsid w:val="00EC594C"/>
    <w:rsid w:val="00F00C79"/>
    <w:rsid w:val="00F069D6"/>
    <w:rsid w:val="00F441A8"/>
    <w:rsid w:val="00F62F3C"/>
    <w:rsid w:val="00F63149"/>
    <w:rsid w:val="00F97BE1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71B4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2EC"/>
    <w:pPr>
      <w:ind w:left="720"/>
      <w:contextualSpacing/>
    </w:pPr>
  </w:style>
  <w:style w:type="paragraph" w:customStyle="1" w:styleId="Default">
    <w:name w:val="Default"/>
    <w:rsid w:val="000112EC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2F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F3C"/>
  </w:style>
  <w:style w:type="character" w:styleId="Nmerodepgina">
    <w:name w:val="page number"/>
    <w:basedOn w:val="Fuentedeprrafopredeter"/>
    <w:uiPriority w:val="99"/>
    <w:semiHidden/>
    <w:unhideWhenUsed/>
    <w:rsid w:val="00F62F3C"/>
  </w:style>
  <w:style w:type="paragraph" w:styleId="Encabezado">
    <w:name w:val="header"/>
    <w:basedOn w:val="Normal"/>
    <w:link w:val="EncabezadoCar"/>
    <w:uiPriority w:val="99"/>
    <w:unhideWhenUsed/>
    <w:rsid w:val="002279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946"/>
  </w:style>
  <w:style w:type="paragraph" w:styleId="Textodeglobo">
    <w:name w:val="Balloon Text"/>
    <w:basedOn w:val="Normal"/>
    <w:link w:val="TextodegloboCar"/>
    <w:uiPriority w:val="99"/>
    <w:semiHidden/>
    <w:unhideWhenUsed/>
    <w:rsid w:val="00A64B3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B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Cuquisanchez Abogadilia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Interasociativa</dc:creator>
  <cp:keywords/>
  <dc:description/>
  <cp:lastModifiedBy>VELILLA ANTOLIN, NATALIA</cp:lastModifiedBy>
  <cp:revision>4</cp:revision>
  <cp:lastPrinted>2018-04-15T19:35:00Z</cp:lastPrinted>
  <dcterms:created xsi:type="dcterms:W3CDTF">2019-01-28T08:29:00Z</dcterms:created>
  <dcterms:modified xsi:type="dcterms:W3CDTF">2019-01-28T08:35:00Z</dcterms:modified>
</cp:coreProperties>
</file>