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85DB4" w14:textId="77777777" w:rsidR="0082721F" w:rsidRDefault="001E4D49" w:rsidP="00190663">
      <w:pPr>
        <w:jc w:val="center"/>
        <w:rPr>
          <w:lang w:val="es-ES"/>
        </w:rPr>
      </w:pPr>
    </w:p>
    <w:p w14:paraId="54FFAB84" w14:textId="77777777" w:rsidR="00A00292" w:rsidRPr="005C6441" w:rsidRDefault="001671A5" w:rsidP="00190663">
      <w:pPr>
        <w:jc w:val="center"/>
        <w:rPr>
          <w:rFonts w:ascii="Bookman Old Style" w:hAnsi="Bookman Old Style"/>
          <w:b/>
          <w:sz w:val="32"/>
          <w:szCs w:val="32"/>
          <w:u w:val="single"/>
          <w:lang w:val="es-ES"/>
        </w:rPr>
      </w:pPr>
      <w:r w:rsidRPr="005C6441">
        <w:rPr>
          <w:rFonts w:ascii="Bookman Old Style" w:hAnsi="Bookman Old Style"/>
          <w:b/>
          <w:sz w:val="32"/>
          <w:szCs w:val="32"/>
          <w:u w:val="single"/>
          <w:lang w:val="es-ES"/>
        </w:rPr>
        <w:t xml:space="preserve">AL PRESIDENTE DEL CONSEJO GENERAL DEL PODER JUDICIAL </w:t>
      </w:r>
    </w:p>
    <w:p w14:paraId="6F63C62F" w14:textId="77777777" w:rsidR="001671A5" w:rsidRPr="005C6441" w:rsidRDefault="001671A5" w:rsidP="00190663">
      <w:pPr>
        <w:jc w:val="center"/>
        <w:rPr>
          <w:rFonts w:ascii="Bookman Old Style" w:hAnsi="Bookman Old Style"/>
          <w:b/>
          <w:sz w:val="32"/>
          <w:szCs w:val="32"/>
          <w:u w:val="single"/>
          <w:lang w:val="es-ES"/>
        </w:rPr>
      </w:pPr>
    </w:p>
    <w:p w14:paraId="61B6F41B" w14:textId="0FAC534F" w:rsidR="00FA6B87" w:rsidRPr="0021564A" w:rsidRDefault="0021564A" w:rsidP="00FA6B87">
      <w:pPr>
        <w:jc w:val="both"/>
        <w:rPr>
          <w:rFonts w:ascii="Bookman Old Style" w:hAnsi="Bookman Old Style"/>
          <w:sz w:val="22"/>
          <w:szCs w:val="22"/>
          <w:lang w:val="es-ES"/>
        </w:rPr>
      </w:pPr>
      <w:r w:rsidRPr="00234FE6">
        <w:rPr>
          <w:rFonts w:ascii="Bookman Old Style" w:hAnsi="Bookman Old Style"/>
          <w:sz w:val="22"/>
          <w:szCs w:val="22"/>
          <w:lang w:val="es-ES"/>
        </w:rPr>
        <w:t>En Madrid, a 4 de diciembre de 2018.</w:t>
      </w:r>
    </w:p>
    <w:p w14:paraId="4C25A1E1" w14:textId="77777777" w:rsidR="0021564A" w:rsidRDefault="0021564A" w:rsidP="00FA6B87">
      <w:pPr>
        <w:jc w:val="both"/>
        <w:rPr>
          <w:rFonts w:ascii="Bookman Old Style" w:hAnsi="Bookman Old Style"/>
          <w:sz w:val="22"/>
          <w:szCs w:val="22"/>
          <w:lang w:val="es-ES"/>
        </w:rPr>
      </w:pPr>
    </w:p>
    <w:p w14:paraId="4727C0FB" w14:textId="77777777" w:rsidR="006F5F93" w:rsidRPr="00234FE6" w:rsidRDefault="001671A5" w:rsidP="00FA6B87">
      <w:pPr>
        <w:jc w:val="both"/>
        <w:rPr>
          <w:rFonts w:ascii="Bookman Old Style" w:hAnsi="Bookman Old Style"/>
          <w:sz w:val="22"/>
          <w:szCs w:val="22"/>
          <w:lang w:val="es-ES"/>
        </w:rPr>
      </w:pPr>
      <w:r w:rsidRPr="00234FE6">
        <w:rPr>
          <w:rFonts w:ascii="Bookman Old Style" w:hAnsi="Bookman Old Style"/>
          <w:sz w:val="22"/>
          <w:szCs w:val="22"/>
          <w:lang w:val="es-ES"/>
        </w:rPr>
        <w:t>La Asociación Judicial Francisco de Vitoria</w:t>
      </w:r>
      <w:r w:rsidR="00FA6B87" w:rsidRPr="00234FE6">
        <w:rPr>
          <w:rFonts w:ascii="Bookman Old Style" w:hAnsi="Bookman Old Style"/>
          <w:sz w:val="22"/>
          <w:szCs w:val="22"/>
          <w:lang w:val="es-ES"/>
        </w:rPr>
        <w:t>, ante la expiración del plazo para la</w:t>
      </w:r>
      <w:r w:rsidRPr="00234FE6">
        <w:rPr>
          <w:rFonts w:ascii="Bookman Old Style" w:hAnsi="Bookman Old Style"/>
          <w:sz w:val="22"/>
          <w:szCs w:val="22"/>
          <w:lang w:val="es-ES"/>
        </w:rPr>
        <w:t xml:space="preserve"> renovación del Consejo General del Poder Judicial </w:t>
      </w:r>
      <w:r w:rsidR="00906204" w:rsidRPr="00234FE6">
        <w:rPr>
          <w:rFonts w:ascii="Bookman Old Style" w:hAnsi="Bookman Old Style"/>
          <w:sz w:val="22"/>
          <w:szCs w:val="22"/>
          <w:lang w:val="es-ES"/>
        </w:rPr>
        <w:t xml:space="preserve">consumada en el día de hoy, </w:t>
      </w:r>
      <w:r w:rsidR="006F5F93" w:rsidRPr="00234FE6">
        <w:rPr>
          <w:rFonts w:ascii="Bookman Old Style" w:hAnsi="Bookman Old Style"/>
          <w:sz w:val="22"/>
          <w:szCs w:val="22"/>
          <w:lang w:val="es-ES"/>
        </w:rPr>
        <w:t xml:space="preserve">queremos poner de manifiesto los siguiente: </w:t>
      </w:r>
    </w:p>
    <w:p w14:paraId="6E876F6E" w14:textId="77777777" w:rsidR="006F5F93" w:rsidRPr="00234FE6" w:rsidRDefault="006F5F93" w:rsidP="00FA6B87">
      <w:pPr>
        <w:jc w:val="both"/>
        <w:rPr>
          <w:rFonts w:ascii="Bookman Old Style" w:hAnsi="Bookman Old Style"/>
          <w:sz w:val="22"/>
          <w:szCs w:val="22"/>
          <w:lang w:val="es-ES"/>
        </w:rPr>
      </w:pPr>
    </w:p>
    <w:p w14:paraId="74EE074F" w14:textId="4BD813DD" w:rsidR="001D1274" w:rsidRPr="00234FE6" w:rsidRDefault="006F5F93" w:rsidP="00FA0694">
      <w:pPr>
        <w:jc w:val="both"/>
        <w:rPr>
          <w:rFonts w:ascii="Bookman Old Style" w:hAnsi="Bookman Old Style"/>
          <w:i/>
          <w:sz w:val="22"/>
          <w:szCs w:val="22"/>
          <w:lang w:val="es-ES"/>
        </w:rPr>
      </w:pPr>
      <w:r w:rsidRPr="00234FE6">
        <w:rPr>
          <w:rFonts w:ascii="Bookman Old Style" w:hAnsi="Bookman Old Style"/>
          <w:sz w:val="22"/>
          <w:szCs w:val="22"/>
          <w:lang w:val="es-ES"/>
        </w:rPr>
        <w:t xml:space="preserve">1.- </w:t>
      </w:r>
      <w:r w:rsidRPr="004C321E">
        <w:rPr>
          <w:rFonts w:ascii="Bookman Old Style" w:hAnsi="Bookman Old Style"/>
          <w:b/>
          <w:sz w:val="22"/>
          <w:szCs w:val="22"/>
          <w:lang w:val="es-ES"/>
        </w:rPr>
        <w:t xml:space="preserve">El </w:t>
      </w:r>
      <w:r w:rsidRPr="00234FE6">
        <w:rPr>
          <w:rFonts w:ascii="Bookman Old Style" w:hAnsi="Bookman Old Style"/>
          <w:b/>
          <w:sz w:val="22"/>
          <w:szCs w:val="22"/>
          <w:lang w:val="es-ES"/>
        </w:rPr>
        <w:t>artículo 21</w:t>
      </w:r>
      <w:r w:rsidR="00077730" w:rsidRPr="00234FE6">
        <w:rPr>
          <w:rFonts w:ascii="Bookman Old Style" w:hAnsi="Bookman Old Style"/>
          <w:b/>
          <w:sz w:val="22"/>
          <w:szCs w:val="22"/>
          <w:lang w:val="es-ES"/>
        </w:rPr>
        <w:t>.3</w:t>
      </w:r>
      <w:r w:rsidRPr="00234FE6">
        <w:rPr>
          <w:rFonts w:ascii="Bookman Old Style" w:hAnsi="Bookman Old Style"/>
          <w:b/>
          <w:sz w:val="22"/>
          <w:szCs w:val="22"/>
          <w:lang w:val="es-ES"/>
        </w:rPr>
        <w:t xml:space="preserve"> de la Ley </w:t>
      </w:r>
      <w:r w:rsidR="00A917FA" w:rsidRPr="00234FE6">
        <w:rPr>
          <w:rFonts w:ascii="Bookman Old Style" w:hAnsi="Bookman Old Style"/>
          <w:b/>
          <w:sz w:val="22"/>
          <w:szCs w:val="22"/>
          <w:lang w:val="es-ES"/>
        </w:rPr>
        <w:t>50/1997, de 27 de noviembre, del Gobierno</w:t>
      </w:r>
      <w:r w:rsidR="00A917FA" w:rsidRPr="00234FE6">
        <w:rPr>
          <w:rFonts w:ascii="Bookman Old Style" w:hAnsi="Bookman Old Style"/>
          <w:sz w:val="22"/>
          <w:szCs w:val="22"/>
          <w:lang w:val="es-ES"/>
        </w:rPr>
        <w:t>, establece</w:t>
      </w:r>
      <w:r w:rsidR="001D1274" w:rsidRPr="00234FE6">
        <w:rPr>
          <w:rFonts w:ascii="Bookman Old Style" w:hAnsi="Bookman Old Style"/>
          <w:sz w:val="22"/>
          <w:szCs w:val="22"/>
          <w:lang w:val="es-ES"/>
        </w:rPr>
        <w:t xml:space="preserve">, entre otras cosas, que </w:t>
      </w:r>
      <w:r w:rsidR="00357918" w:rsidRPr="00234FE6">
        <w:rPr>
          <w:rFonts w:ascii="Bookman Old Style" w:hAnsi="Bookman Old Style"/>
          <w:i/>
          <w:sz w:val="22"/>
          <w:szCs w:val="22"/>
          <w:lang w:val="es-ES"/>
        </w:rPr>
        <w:t>«</w:t>
      </w:r>
      <w:r w:rsidR="001D1274" w:rsidRPr="00234FE6">
        <w:rPr>
          <w:rFonts w:ascii="Bookman Old Style" w:hAnsi="Bookman Old Style"/>
          <w:i/>
          <w:sz w:val="22"/>
          <w:szCs w:val="22"/>
          <w:lang w:val="es-ES"/>
        </w:rPr>
        <w:t>el Gobierno en funciones facilitará el normal desarrollo del proceso de formación del nuevo Gobierno y el traspaso de poderes al mismo y limitará su gestión al despacho ordinario de los asuntos públicos, absteniéndose de adoptar, salvo casos de urgencia debidamente acreditados o por razones de interés general cuya acreditación expresa así lo justifique, cualesquiera otras medidas</w:t>
      </w:r>
      <w:r w:rsidR="00357918" w:rsidRPr="00234FE6">
        <w:rPr>
          <w:rFonts w:ascii="Bookman Old Style" w:hAnsi="Bookman Old Style"/>
          <w:i/>
          <w:sz w:val="22"/>
          <w:szCs w:val="22"/>
          <w:lang w:val="es-ES"/>
        </w:rPr>
        <w:t>»</w:t>
      </w:r>
      <w:r w:rsidR="001D1274" w:rsidRPr="00234FE6">
        <w:rPr>
          <w:rFonts w:ascii="Bookman Old Style" w:hAnsi="Bookman Old Style"/>
          <w:i/>
          <w:sz w:val="22"/>
          <w:szCs w:val="22"/>
          <w:lang w:val="es-ES"/>
        </w:rPr>
        <w:t>.</w:t>
      </w:r>
      <w:r w:rsidR="000B1F5A">
        <w:rPr>
          <w:rFonts w:ascii="Bookman Old Style" w:hAnsi="Bookman Old Style"/>
          <w:i/>
          <w:sz w:val="22"/>
          <w:szCs w:val="22"/>
          <w:lang w:val="es-ES"/>
        </w:rPr>
        <w:t xml:space="preserve"> </w:t>
      </w:r>
      <w:r w:rsidR="000B1F5A" w:rsidRPr="00234FE6">
        <w:rPr>
          <w:rFonts w:ascii="Bookman Old Style" w:hAnsi="Bookman Old Style"/>
          <w:sz w:val="22"/>
          <w:szCs w:val="22"/>
          <w:lang w:val="es-ES"/>
        </w:rPr>
        <w:t xml:space="preserve">Por su parte, el </w:t>
      </w:r>
      <w:r w:rsidR="000B1F5A" w:rsidRPr="00234FE6">
        <w:rPr>
          <w:rFonts w:ascii="Bookman Old Style" w:hAnsi="Bookman Old Style"/>
          <w:b/>
          <w:sz w:val="22"/>
          <w:szCs w:val="22"/>
          <w:lang w:val="es-ES"/>
        </w:rPr>
        <w:t>número 6</w:t>
      </w:r>
      <w:r w:rsidR="000B1F5A" w:rsidRPr="00234FE6">
        <w:rPr>
          <w:rFonts w:ascii="Bookman Old Style" w:hAnsi="Bookman Old Style"/>
          <w:sz w:val="22"/>
          <w:szCs w:val="22"/>
          <w:lang w:val="es-ES"/>
        </w:rPr>
        <w:t xml:space="preserve"> del mismo precepto legal establece que </w:t>
      </w:r>
      <w:r w:rsidR="000B1F5A" w:rsidRPr="00234FE6">
        <w:rPr>
          <w:rFonts w:ascii="Bookman Old Style" w:hAnsi="Bookman Old Style"/>
          <w:i/>
          <w:sz w:val="22"/>
          <w:szCs w:val="22"/>
          <w:lang w:val="es-ES"/>
        </w:rPr>
        <w:t>«las delegaciones legislativas otorgadas por las Cortes Generales quedarán en suspenso durante todo el tiempo que el Gobierno esté en funciones como consecuencia de la celebración de elecciones generales</w:t>
      </w:r>
    </w:p>
    <w:p w14:paraId="3F9769DF" w14:textId="77777777" w:rsidR="00357918" w:rsidRPr="00234FE6" w:rsidRDefault="00357918" w:rsidP="00FA0694">
      <w:pPr>
        <w:jc w:val="both"/>
        <w:rPr>
          <w:rFonts w:ascii="Bookman Old Style" w:hAnsi="Bookman Old Style"/>
          <w:i/>
          <w:sz w:val="22"/>
          <w:szCs w:val="22"/>
          <w:lang w:val="es-ES"/>
        </w:rPr>
      </w:pPr>
    </w:p>
    <w:p w14:paraId="78857594" w14:textId="067C8628" w:rsidR="00D945DD" w:rsidRPr="00234FE6" w:rsidRDefault="00204C37" w:rsidP="005D22D4">
      <w:pPr>
        <w:jc w:val="both"/>
        <w:rPr>
          <w:rFonts w:ascii="Helvetica" w:eastAsia="Times New Roman" w:hAnsi="Helvetica" w:cs="Times New Roman"/>
          <w:i/>
          <w:sz w:val="22"/>
          <w:szCs w:val="22"/>
          <w:lang w:eastAsia="es-ES_tradnl"/>
        </w:rPr>
      </w:pPr>
      <w:r w:rsidRPr="00234FE6">
        <w:rPr>
          <w:rFonts w:ascii="Bookman Old Style" w:hAnsi="Bookman Old Style"/>
          <w:sz w:val="22"/>
          <w:szCs w:val="22"/>
          <w:lang w:val="es-ES"/>
        </w:rPr>
        <w:t xml:space="preserve">2.- </w:t>
      </w:r>
      <w:r w:rsidR="0042406D">
        <w:rPr>
          <w:rFonts w:ascii="Bookman Old Style" w:hAnsi="Bookman Old Style"/>
          <w:b/>
          <w:sz w:val="22"/>
          <w:szCs w:val="22"/>
          <w:lang w:val="es-ES"/>
        </w:rPr>
        <w:t>E</w:t>
      </w:r>
      <w:r w:rsidRPr="00234FE6">
        <w:rPr>
          <w:rFonts w:ascii="Bookman Old Style" w:hAnsi="Bookman Old Style"/>
          <w:b/>
          <w:sz w:val="22"/>
          <w:szCs w:val="22"/>
          <w:lang w:val="es-ES"/>
        </w:rPr>
        <w:t xml:space="preserve">l artículo 207 del Reglamento del Congreso </w:t>
      </w:r>
      <w:r w:rsidR="0013350F" w:rsidRPr="00234FE6">
        <w:rPr>
          <w:rFonts w:ascii="Bookman Old Style" w:hAnsi="Bookman Old Style"/>
          <w:b/>
          <w:sz w:val="22"/>
          <w:szCs w:val="22"/>
          <w:lang w:val="es-ES"/>
        </w:rPr>
        <w:t>de 10 de febrero de 1982</w:t>
      </w:r>
      <w:r w:rsidR="0013350F" w:rsidRPr="00234FE6">
        <w:rPr>
          <w:rFonts w:ascii="Bookman Old Style" w:hAnsi="Bookman Old Style"/>
          <w:sz w:val="22"/>
          <w:szCs w:val="22"/>
          <w:lang w:val="es-ES"/>
        </w:rPr>
        <w:t xml:space="preserve">, </w:t>
      </w:r>
      <w:r w:rsidRPr="00234FE6">
        <w:rPr>
          <w:rFonts w:ascii="Bookman Old Style" w:hAnsi="Bookman Old Style"/>
          <w:sz w:val="22"/>
          <w:szCs w:val="22"/>
          <w:lang w:val="es-ES"/>
        </w:rPr>
        <w:t xml:space="preserve">regula que </w:t>
      </w:r>
      <w:r w:rsidR="00F96887" w:rsidRPr="00234FE6">
        <w:rPr>
          <w:rFonts w:ascii="Bookman Old Style" w:hAnsi="Bookman Old Style"/>
          <w:i/>
          <w:sz w:val="22"/>
          <w:szCs w:val="22"/>
          <w:lang w:val="es-ES"/>
        </w:rPr>
        <w:t>«d</w:t>
      </w:r>
      <w:r w:rsidR="00D945DD" w:rsidRPr="00D945DD">
        <w:rPr>
          <w:rFonts w:ascii="Bookman Old Style" w:hAnsi="Bookman Old Style"/>
          <w:i/>
          <w:sz w:val="22"/>
          <w:szCs w:val="22"/>
          <w:lang w:val="es-ES"/>
        </w:rPr>
        <w:t>isuelto el Congreso de los Diputados o expirado su mandato, quedarán caducados todos los asuntos pendientes de examen y resolución por la Cámara, excepto aquellos de los que constitucionalmente tenga que conocer su Diputación Permanente</w:t>
      </w:r>
      <w:r w:rsidR="005D22D4" w:rsidRPr="00234FE6">
        <w:rPr>
          <w:rFonts w:ascii="Bookman Old Style" w:hAnsi="Bookman Old Style"/>
          <w:i/>
          <w:sz w:val="22"/>
          <w:szCs w:val="22"/>
          <w:lang w:val="es-ES"/>
        </w:rPr>
        <w:t>»</w:t>
      </w:r>
      <w:r w:rsidR="00D945DD" w:rsidRPr="00D945DD">
        <w:rPr>
          <w:rFonts w:ascii="Bookman Old Style" w:hAnsi="Bookman Old Style"/>
          <w:i/>
          <w:sz w:val="22"/>
          <w:szCs w:val="22"/>
          <w:lang w:val="es-ES"/>
        </w:rPr>
        <w:t>.</w:t>
      </w:r>
      <w:r w:rsidR="00D945DD" w:rsidRPr="00D945DD">
        <w:rPr>
          <w:rFonts w:ascii="Helvetica" w:eastAsia="Times New Roman" w:hAnsi="Helvetica" w:cs="Times New Roman"/>
          <w:i/>
          <w:sz w:val="22"/>
          <w:szCs w:val="22"/>
          <w:lang w:eastAsia="es-ES_tradnl"/>
        </w:rPr>
        <w:t xml:space="preserve"> </w:t>
      </w:r>
    </w:p>
    <w:p w14:paraId="0A6EDDA6" w14:textId="77777777" w:rsidR="00E93114" w:rsidRPr="00234FE6" w:rsidRDefault="00E93114" w:rsidP="00E93114">
      <w:pPr>
        <w:rPr>
          <w:rFonts w:ascii="Helvetica" w:eastAsia="Times New Roman" w:hAnsi="Helvetica" w:cs="Times New Roman"/>
          <w:i/>
          <w:sz w:val="22"/>
          <w:szCs w:val="22"/>
          <w:lang w:eastAsia="es-ES_tradnl"/>
        </w:rPr>
      </w:pPr>
    </w:p>
    <w:p w14:paraId="42BF938A" w14:textId="15BE5D4C" w:rsidR="00FA6B87" w:rsidRPr="00234FE6" w:rsidRDefault="00E93114" w:rsidP="00E93114">
      <w:pPr>
        <w:ind w:firstLine="708"/>
        <w:jc w:val="both"/>
        <w:rPr>
          <w:rFonts w:ascii="Times New Roman" w:eastAsia="Times New Roman" w:hAnsi="Times New Roman" w:cs="Times New Roman"/>
          <w:sz w:val="22"/>
          <w:szCs w:val="22"/>
          <w:lang w:eastAsia="es-ES_tradnl"/>
        </w:rPr>
      </w:pPr>
      <w:r w:rsidRPr="00234FE6">
        <w:rPr>
          <w:rFonts w:ascii="Bookman Old Style" w:hAnsi="Bookman Old Style"/>
          <w:sz w:val="22"/>
          <w:szCs w:val="22"/>
        </w:rPr>
        <w:t xml:space="preserve">Pese </w:t>
      </w:r>
      <w:r w:rsidRPr="00234FE6">
        <w:rPr>
          <w:rFonts w:ascii="Bookman Old Style" w:hAnsi="Bookman Old Style"/>
          <w:sz w:val="22"/>
          <w:szCs w:val="22"/>
          <w:lang w:val="es-ES"/>
        </w:rPr>
        <w:t xml:space="preserve">a que la ley </w:t>
      </w:r>
      <w:r w:rsidR="001E4D49">
        <w:rPr>
          <w:rFonts w:ascii="Bookman Old Style" w:hAnsi="Bookman Old Style"/>
          <w:sz w:val="22"/>
          <w:szCs w:val="22"/>
          <w:lang w:val="es-ES"/>
        </w:rPr>
        <w:t>determina</w:t>
      </w:r>
      <w:bookmarkStart w:id="0" w:name="_GoBack"/>
      <w:bookmarkEnd w:id="0"/>
      <w:r w:rsidRPr="00234FE6">
        <w:rPr>
          <w:rFonts w:ascii="Bookman Old Style" w:hAnsi="Bookman Old Style"/>
          <w:sz w:val="22"/>
          <w:szCs w:val="22"/>
          <w:lang w:val="es-ES"/>
        </w:rPr>
        <w:t xml:space="preserve"> limitaciones a los poderes ejecutivo y legislativo cuando estos se hallan en funciones, la L</w:t>
      </w:r>
      <w:r w:rsidR="00E94046">
        <w:rPr>
          <w:rFonts w:ascii="Bookman Old Style" w:hAnsi="Bookman Old Style"/>
          <w:sz w:val="22"/>
          <w:szCs w:val="22"/>
          <w:lang w:val="es-ES"/>
        </w:rPr>
        <w:t xml:space="preserve">ey </w:t>
      </w:r>
      <w:r w:rsidRPr="00234FE6">
        <w:rPr>
          <w:rFonts w:ascii="Bookman Old Style" w:hAnsi="Bookman Old Style"/>
          <w:sz w:val="22"/>
          <w:szCs w:val="22"/>
          <w:lang w:val="es-ES"/>
        </w:rPr>
        <w:t>O</w:t>
      </w:r>
      <w:r w:rsidR="00E94046">
        <w:rPr>
          <w:rFonts w:ascii="Bookman Old Style" w:hAnsi="Bookman Old Style"/>
          <w:sz w:val="22"/>
          <w:szCs w:val="22"/>
          <w:lang w:val="es-ES"/>
        </w:rPr>
        <w:t xml:space="preserve">rgánica del </w:t>
      </w:r>
      <w:r w:rsidRPr="00234FE6">
        <w:rPr>
          <w:rFonts w:ascii="Bookman Old Style" w:hAnsi="Bookman Old Style"/>
          <w:sz w:val="22"/>
          <w:szCs w:val="22"/>
          <w:lang w:val="es-ES"/>
        </w:rPr>
        <w:t>P</w:t>
      </w:r>
      <w:r w:rsidR="00E94046">
        <w:rPr>
          <w:rFonts w:ascii="Bookman Old Style" w:hAnsi="Bookman Old Style"/>
          <w:sz w:val="22"/>
          <w:szCs w:val="22"/>
          <w:lang w:val="es-ES"/>
        </w:rPr>
        <w:t xml:space="preserve">oder </w:t>
      </w:r>
      <w:r w:rsidRPr="00234FE6">
        <w:rPr>
          <w:rFonts w:ascii="Bookman Old Style" w:hAnsi="Bookman Old Style"/>
          <w:sz w:val="22"/>
          <w:szCs w:val="22"/>
          <w:lang w:val="es-ES"/>
        </w:rPr>
        <w:t>J</w:t>
      </w:r>
      <w:r w:rsidR="00E94046">
        <w:rPr>
          <w:rFonts w:ascii="Bookman Old Style" w:hAnsi="Bookman Old Style"/>
          <w:sz w:val="22"/>
          <w:szCs w:val="22"/>
          <w:lang w:val="es-ES"/>
        </w:rPr>
        <w:t>udicial</w:t>
      </w:r>
      <w:r w:rsidRPr="00234FE6">
        <w:rPr>
          <w:rFonts w:ascii="Bookman Old Style" w:hAnsi="Bookman Old Style"/>
          <w:sz w:val="22"/>
          <w:szCs w:val="22"/>
          <w:lang w:val="es-ES"/>
        </w:rPr>
        <w:t xml:space="preserve">, en su artículo 570, no </w:t>
      </w:r>
      <w:r w:rsidR="00133D4C">
        <w:rPr>
          <w:rFonts w:ascii="Bookman Old Style" w:hAnsi="Bookman Old Style"/>
          <w:sz w:val="22"/>
          <w:szCs w:val="22"/>
          <w:lang w:val="es-ES"/>
        </w:rPr>
        <w:t>regula</w:t>
      </w:r>
      <w:r w:rsidRPr="00234FE6">
        <w:rPr>
          <w:rFonts w:ascii="Bookman Old Style" w:hAnsi="Bookman Old Style"/>
          <w:sz w:val="22"/>
          <w:szCs w:val="22"/>
          <w:lang w:val="es-ES"/>
        </w:rPr>
        <w:t xml:space="preserve"> cuáles limitaciones tiene el Consejo General del Poder Judicial (órgano de gobierno del Poder Judicial y, por tanto, cabeza del tercer poder del Estado). Ahora bien, atendiendo a la lógica democrática y a la equiparación de los tres poderes del Estado</w:t>
      </w:r>
      <w:r w:rsidR="00234FE6">
        <w:rPr>
          <w:rFonts w:ascii="Bookman Old Style" w:hAnsi="Bookman Old Style"/>
          <w:sz w:val="22"/>
          <w:szCs w:val="22"/>
          <w:lang w:val="es-ES"/>
        </w:rPr>
        <w:t>,</w:t>
      </w:r>
      <w:r w:rsidRPr="00234FE6">
        <w:rPr>
          <w:rFonts w:ascii="Bookman Old Style" w:hAnsi="Bookman Old Style"/>
          <w:sz w:val="22"/>
          <w:szCs w:val="22"/>
          <w:lang w:val="es-ES"/>
        </w:rPr>
        <w:t xml:space="preserve"> </w:t>
      </w:r>
      <w:r w:rsidRPr="00234FE6">
        <w:rPr>
          <w:rFonts w:ascii="Bookman Old Style" w:hAnsi="Bookman Old Style"/>
          <w:b/>
          <w:sz w:val="22"/>
          <w:szCs w:val="22"/>
          <w:lang w:val="es-ES"/>
        </w:rPr>
        <w:t xml:space="preserve">entendemos que el Consejo General del Poder Judicial </w:t>
      </w:r>
      <w:r w:rsidR="00E94046">
        <w:rPr>
          <w:rFonts w:ascii="Bookman Old Style" w:hAnsi="Bookman Old Style"/>
          <w:b/>
          <w:sz w:val="22"/>
          <w:szCs w:val="22"/>
          <w:lang w:val="es-ES"/>
        </w:rPr>
        <w:t>–</w:t>
      </w:r>
      <w:r w:rsidRPr="00234FE6">
        <w:rPr>
          <w:rFonts w:ascii="Bookman Old Style" w:hAnsi="Bookman Old Style"/>
          <w:b/>
          <w:sz w:val="22"/>
          <w:szCs w:val="22"/>
          <w:lang w:val="es-ES"/>
        </w:rPr>
        <w:t xml:space="preserve">hoy prorrogado </w:t>
      </w:r>
      <w:r w:rsidR="00E94046">
        <w:rPr>
          <w:rFonts w:ascii="Bookman Old Style" w:hAnsi="Bookman Old Style"/>
          <w:b/>
          <w:sz w:val="22"/>
          <w:szCs w:val="22"/>
          <w:lang w:val="es-ES"/>
        </w:rPr>
        <w:t>y “</w:t>
      </w:r>
      <w:r w:rsidRPr="00234FE6">
        <w:rPr>
          <w:rFonts w:ascii="Bookman Old Style" w:hAnsi="Bookman Old Style"/>
          <w:b/>
          <w:sz w:val="22"/>
          <w:szCs w:val="22"/>
          <w:lang w:val="es-ES"/>
        </w:rPr>
        <w:t>en funciones</w:t>
      </w:r>
      <w:r w:rsidR="00E94046">
        <w:rPr>
          <w:rFonts w:ascii="Bookman Old Style" w:hAnsi="Bookman Old Style"/>
          <w:b/>
          <w:sz w:val="22"/>
          <w:szCs w:val="22"/>
          <w:lang w:val="es-ES"/>
        </w:rPr>
        <w:t>”–</w:t>
      </w:r>
      <w:r w:rsidRPr="00234FE6">
        <w:rPr>
          <w:rFonts w:ascii="Bookman Old Style" w:hAnsi="Bookman Old Style"/>
          <w:b/>
          <w:sz w:val="22"/>
          <w:szCs w:val="22"/>
          <w:lang w:val="es-ES"/>
        </w:rPr>
        <w:t xml:space="preserve">, ha perdido la legitimidad </w:t>
      </w:r>
      <w:r w:rsidR="00E94046">
        <w:rPr>
          <w:rFonts w:ascii="Bookman Old Style" w:hAnsi="Bookman Old Style"/>
          <w:b/>
          <w:sz w:val="22"/>
          <w:szCs w:val="22"/>
          <w:lang w:val="es-ES"/>
        </w:rPr>
        <w:t>de</w:t>
      </w:r>
      <w:r w:rsidR="004C321E">
        <w:rPr>
          <w:rFonts w:ascii="Bookman Old Style" w:hAnsi="Bookman Old Style"/>
          <w:b/>
          <w:sz w:val="22"/>
          <w:szCs w:val="22"/>
          <w:lang w:val="es-ES"/>
        </w:rPr>
        <w:t>seable en un estado democrático</w:t>
      </w:r>
      <w:r w:rsidR="00E94046">
        <w:rPr>
          <w:rFonts w:ascii="Bookman Old Style" w:hAnsi="Bookman Old Style"/>
          <w:b/>
          <w:sz w:val="22"/>
          <w:szCs w:val="22"/>
          <w:lang w:val="es-ES"/>
        </w:rPr>
        <w:t xml:space="preserve"> </w:t>
      </w:r>
      <w:r w:rsidRPr="00234FE6">
        <w:rPr>
          <w:rFonts w:ascii="Bookman Old Style" w:hAnsi="Bookman Old Style"/>
          <w:b/>
          <w:sz w:val="22"/>
          <w:szCs w:val="22"/>
          <w:lang w:val="es-ES"/>
        </w:rPr>
        <w:t>para realizar actos discrecionales.</w:t>
      </w:r>
      <w:r w:rsidRPr="00234FE6">
        <w:rPr>
          <w:rFonts w:ascii="Bookman Old Style" w:hAnsi="Bookman Old Style"/>
          <w:sz w:val="22"/>
          <w:szCs w:val="22"/>
          <w:lang w:val="es-ES"/>
        </w:rPr>
        <w:t xml:space="preserve"> Entendemos que el CGPJ, a partir de hoy, </w:t>
      </w:r>
      <w:r w:rsidRPr="00234FE6">
        <w:rPr>
          <w:rFonts w:ascii="Bookman Old Style" w:hAnsi="Bookman Old Style"/>
          <w:b/>
          <w:sz w:val="22"/>
          <w:szCs w:val="22"/>
          <w:lang w:val="es-ES"/>
        </w:rPr>
        <w:t>debe</w:t>
      </w:r>
      <w:r w:rsidR="00FA6B87" w:rsidRPr="00234FE6">
        <w:rPr>
          <w:rFonts w:ascii="Bookman Old Style" w:hAnsi="Bookman Old Style"/>
          <w:b/>
          <w:sz w:val="22"/>
          <w:szCs w:val="22"/>
          <w:lang w:val="es-ES"/>
        </w:rPr>
        <w:t xml:space="preserve"> circunscribir </w:t>
      </w:r>
      <w:r w:rsidRPr="00234FE6">
        <w:rPr>
          <w:rFonts w:ascii="Bookman Old Style" w:hAnsi="Bookman Old Style"/>
          <w:b/>
          <w:sz w:val="22"/>
          <w:szCs w:val="22"/>
          <w:lang w:val="es-ES"/>
        </w:rPr>
        <w:t xml:space="preserve">su actividad </w:t>
      </w:r>
      <w:r w:rsidR="00FA6B87" w:rsidRPr="00234FE6">
        <w:rPr>
          <w:rFonts w:ascii="Bookman Old Style" w:hAnsi="Bookman Old Style"/>
          <w:b/>
          <w:sz w:val="22"/>
          <w:szCs w:val="22"/>
          <w:lang w:val="es-ES"/>
        </w:rPr>
        <w:t>a despach</w:t>
      </w:r>
      <w:r w:rsidR="00234FE6" w:rsidRPr="00234FE6">
        <w:rPr>
          <w:rFonts w:ascii="Bookman Old Style" w:hAnsi="Bookman Old Style"/>
          <w:b/>
          <w:sz w:val="22"/>
          <w:szCs w:val="22"/>
          <w:lang w:val="es-ES"/>
        </w:rPr>
        <w:t>ar los asuntos de puro trámite y reglados</w:t>
      </w:r>
      <w:r w:rsidR="00FA6B87" w:rsidRPr="00234FE6">
        <w:rPr>
          <w:rFonts w:ascii="Bookman Old Style" w:hAnsi="Bookman Old Style"/>
          <w:b/>
          <w:sz w:val="22"/>
          <w:szCs w:val="22"/>
          <w:lang w:val="es-ES"/>
        </w:rPr>
        <w:t xml:space="preserve"> o aquellos que, por razones de urgencia o necesidad, no admitan demora</w:t>
      </w:r>
      <w:r w:rsidR="00FA6B87" w:rsidRPr="00234FE6">
        <w:rPr>
          <w:rFonts w:ascii="Bookman Old Style" w:hAnsi="Bookman Old Style"/>
          <w:sz w:val="22"/>
          <w:szCs w:val="22"/>
          <w:lang w:val="es-ES"/>
        </w:rPr>
        <w:t xml:space="preserve">. Adoptar decisiones estratégicas discrecionales no urgentes por quien </w:t>
      </w:r>
      <w:r w:rsidR="00422488" w:rsidRPr="00234FE6">
        <w:rPr>
          <w:rFonts w:ascii="Bookman Old Style" w:hAnsi="Bookman Old Style"/>
          <w:sz w:val="22"/>
          <w:szCs w:val="22"/>
          <w:lang w:val="es-ES"/>
        </w:rPr>
        <w:t>cuenta con una cuestionable legitimidad</w:t>
      </w:r>
      <w:r w:rsidR="00FA6B87" w:rsidRPr="00234FE6">
        <w:rPr>
          <w:rFonts w:ascii="Bookman Old Style" w:hAnsi="Bookman Old Style"/>
          <w:sz w:val="22"/>
          <w:szCs w:val="22"/>
          <w:lang w:val="es-ES"/>
        </w:rPr>
        <w:t xml:space="preserve">, supondría un descrédito de la institución a la que nos dirigimos. </w:t>
      </w:r>
    </w:p>
    <w:p w14:paraId="4A8BE5E8" w14:textId="77777777" w:rsidR="00FA6B87" w:rsidRPr="00234FE6" w:rsidRDefault="00FA6B87" w:rsidP="00FA6B87">
      <w:pPr>
        <w:jc w:val="both"/>
        <w:rPr>
          <w:rFonts w:ascii="Bookman Old Style" w:hAnsi="Bookman Old Style"/>
          <w:sz w:val="22"/>
          <w:szCs w:val="22"/>
          <w:lang w:val="es-ES"/>
        </w:rPr>
      </w:pPr>
    </w:p>
    <w:p w14:paraId="73FFC7C6" w14:textId="0F6409C1" w:rsidR="00FA6B87" w:rsidRPr="00234FE6" w:rsidRDefault="00FA6B87" w:rsidP="00FA6B87">
      <w:pPr>
        <w:jc w:val="both"/>
        <w:rPr>
          <w:rFonts w:ascii="Bookman Old Style" w:hAnsi="Bookman Old Style"/>
          <w:sz w:val="22"/>
          <w:szCs w:val="22"/>
          <w:lang w:val="es-ES"/>
        </w:rPr>
      </w:pPr>
      <w:r w:rsidRPr="00234FE6">
        <w:rPr>
          <w:rFonts w:ascii="Bookman Old Style" w:hAnsi="Bookman Old Style"/>
          <w:sz w:val="22"/>
          <w:szCs w:val="22"/>
          <w:lang w:val="es-ES"/>
        </w:rPr>
        <w:tab/>
        <w:t>La Asociación Judicial Francisco de Vitoria estará alerta a</w:t>
      </w:r>
      <w:r w:rsidR="005C6441" w:rsidRPr="00234FE6">
        <w:rPr>
          <w:rFonts w:ascii="Bookman Old Style" w:hAnsi="Bookman Old Style"/>
          <w:sz w:val="22"/>
          <w:szCs w:val="22"/>
          <w:lang w:val="es-ES"/>
        </w:rPr>
        <w:t>nte</w:t>
      </w:r>
      <w:r w:rsidRPr="00234FE6">
        <w:rPr>
          <w:rFonts w:ascii="Bookman Old Style" w:hAnsi="Bookman Old Style"/>
          <w:sz w:val="22"/>
          <w:szCs w:val="22"/>
          <w:lang w:val="es-ES"/>
        </w:rPr>
        <w:t xml:space="preserve"> cualquier desviación que pudiera producirse en el ejercicio de las funciones atribuidas al órgano de gobierno de los jueces que excedan, como hemos dicho, de los actos reglados y de los actos urgentes y necesarios que no admitan demora. </w:t>
      </w:r>
      <w:r w:rsidR="0021564A">
        <w:rPr>
          <w:rFonts w:ascii="Bookman Old Style" w:hAnsi="Bookman Old Style"/>
          <w:sz w:val="22"/>
          <w:szCs w:val="22"/>
          <w:lang w:val="es-ES"/>
        </w:rPr>
        <w:t xml:space="preserve">Atentamente, </w:t>
      </w:r>
    </w:p>
    <w:p w14:paraId="5B52CB55" w14:textId="77777777" w:rsidR="00FA6B87" w:rsidRPr="00234FE6" w:rsidRDefault="00FA6B87" w:rsidP="00FA6B87">
      <w:pPr>
        <w:jc w:val="both"/>
        <w:rPr>
          <w:rFonts w:ascii="Bookman Old Style" w:hAnsi="Bookman Old Style"/>
          <w:sz w:val="22"/>
          <w:szCs w:val="22"/>
          <w:lang w:val="es-ES"/>
        </w:rPr>
      </w:pPr>
    </w:p>
    <w:p w14:paraId="124F6DD9" w14:textId="49CFC13F" w:rsidR="00FA6B87" w:rsidRPr="003721C1" w:rsidRDefault="00FA6B87" w:rsidP="00FA6B87">
      <w:pPr>
        <w:jc w:val="both"/>
        <w:rPr>
          <w:rFonts w:ascii="Bookman Old Style" w:hAnsi="Bookman Old Style"/>
          <w:lang w:val="es-ES"/>
        </w:rPr>
      </w:pPr>
      <w:r w:rsidRPr="003721C1">
        <w:rPr>
          <w:rFonts w:ascii="Bookman Old Style" w:hAnsi="Bookman Old Style"/>
          <w:lang w:val="es-ES"/>
        </w:rPr>
        <w:t xml:space="preserve">COMITÉ NACIONAL </w:t>
      </w:r>
      <w:r w:rsidR="0021564A">
        <w:rPr>
          <w:rFonts w:ascii="Bookman Old Style" w:hAnsi="Bookman Old Style"/>
          <w:lang w:val="es-ES"/>
        </w:rPr>
        <w:t>AJFV</w:t>
      </w:r>
    </w:p>
    <w:sectPr w:rsidR="00FA6B87" w:rsidRPr="003721C1" w:rsidSect="004A607C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85FD9" w14:textId="77777777" w:rsidR="006D7FA5" w:rsidRDefault="006D7FA5" w:rsidP="00A00292">
      <w:r>
        <w:separator/>
      </w:r>
    </w:p>
  </w:endnote>
  <w:endnote w:type="continuationSeparator" w:id="0">
    <w:p w14:paraId="34B3C502" w14:textId="77777777" w:rsidR="006D7FA5" w:rsidRDefault="006D7FA5" w:rsidP="00A0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18083" w14:textId="77777777" w:rsidR="006D7FA5" w:rsidRDefault="006D7FA5" w:rsidP="00A00292">
      <w:r>
        <w:separator/>
      </w:r>
    </w:p>
  </w:footnote>
  <w:footnote w:type="continuationSeparator" w:id="0">
    <w:p w14:paraId="113A7565" w14:textId="77777777" w:rsidR="006D7FA5" w:rsidRDefault="006D7FA5" w:rsidP="00A002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9D548" w14:textId="77777777" w:rsidR="00A00292" w:rsidRDefault="00A00292" w:rsidP="00A00292">
    <w:pPr>
      <w:pStyle w:val="Encabezado"/>
      <w:jc w:val="center"/>
    </w:pPr>
    <w:r>
      <w:rPr>
        <w:noProof/>
        <w:lang w:eastAsia="es-ES_tradnl"/>
      </w:rPr>
      <w:drawing>
        <wp:inline distT="0" distB="0" distL="0" distR="0" wp14:anchorId="33C3C8FE" wp14:editId="79028B24">
          <wp:extent cx="1486535" cy="528281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AJF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260" cy="549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A7CAA1" w14:textId="77777777" w:rsidR="00A00292" w:rsidRDefault="00A002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63"/>
    <w:rsid w:val="00077730"/>
    <w:rsid w:val="000B1F5A"/>
    <w:rsid w:val="0013350F"/>
    <w:rsid w:val="00133D4C"/>
    <w:rsid w:val="001671A5"/>
    <w:rsid w:val="00190663"/>
    <w:rsid w:val="001D1274"/>
    <w:rsid w:val="001E4D49"/>
    <w:rsid w:val="00204C37"/>
    <w:rsid w:val="0021564A"/>
    <w:rsid w:val="00234FE6"/>
    <w:rsid w:val="00357918"/>
    <w:rsid w:val="003721C1"/>
    <w:rsid w:val="003E5AAC"/>
    <w:rsid w:val="00422488"/>
    <w:rsid w:val="0042406D"/>
    <w:rsid w:val="004A607C"/>
    <w:rsid w:val="004C321E"/>
    <w:rsid w:val="004D33DA"/>
    <w:rsid w:val="005C6441"/>
    <w:rsid w:val="005D22D4"/>
    <w:rsid w:val="00614E4F"/>
    <w:rsid w:val="006D7FA5"/>
    <w:rsid w:val="006F5F93"/>
    <w:rsid w:val="0076324C"/>
    <w:rsid w:val="00870148"/>
    <w:rsid w:val="008A6A5B"/>
    <w:rsid w:val="00900432"/>
    <w:rsid w:val="00906204"/>
    <w:rsid w:val="00A00292"/>
    <w:rsid w:val="00A917FA"/>
    <w:rsid w:val="00B0349C"/>
    <w:rsid w:val="00B3182A"/>
    <w:rsid w:val="00B44678"/>
    <w:rsid w:val="00D945DD"/>
    <w:rsid w:val="00DB7265"/>
    <w:rsid w:val="00E93114"/>
    <w:rsid w:val="00E94046"/>
    <w:rsid w:val="00EF6FD7"/>
    <w:rsid w:val="00F96887"/>
    <w:rsid w:val="00FA0694"/>
    <w:rsid w:val="00FA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C736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2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292"/>
  </w:style>
  <w:style w:type="paragraph" w:styleId="Piedepgina">
    <w:name w:val="footer"/>
    <w:basedOn w:val="Normal"/>
    <w:link w:val="PiedepginaCar"/>
    <w:uiPriority w:val="99"/>
    <w:unhideWhenUsed/>
    <w:rsid w:val="00A002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4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418</Words>
  <Characters>2304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Velilla Antolín</dc:creator>
  <cp:keywords/>
  <dc:description/>
  <cp:lastModifiedBy>Natalia Velilla Antolín</cp:lastModifiedBy>
  <cp:revision>8</cp:revision>
  <dcterms:created xsi:type="dcterms:W3CDTF">2018-12-02T17:49:00Z</dcterms:created>
  <dcterms:modified xsi:type="dcterms:W3CDTF">2018-12-04T08:32:00Z</dcterms:modified>
</cp:coreProperties>
</file>